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625"/>
          <w:tab w:val="center" w:pos="4320"/>
        </w:tabs>
        <w:jc w:val="center"/>
        <w:rPr>
          <w:b/>
          <w:sz w:val="32"/>
        </w:rPr>
      </w:pPr>
      <w:r>
        <w:rPr>
          <w:rFonts w:hint="eastAsia"/>
          <w:b/>
          <w:sz w:val="32"/>
        </w:rPr>
        <w:t>2017年行政事业单位内部控制报告及填报软件</w:t>
      </w:r>
    </w:p>
    <w:p>
      <w:pPr>
        <w:tabs>
          <w:tab w:val="left" w:pos="625"/>
          <w:tab w:val="center" w:pos="4320"/>
        </w:tabs>
        <w:jc w:val="center"/>
        <w:rPr>
          <w:b/>
          <w:sz w:val="32"/>
        </w:rPr>
      </w:pPr>
      <w:r>
        <w:rPr>
          <w:rFonts w:hint="eastAsia"/>
          <w:b/>
          <w:sz w:val="32"/>
        </w:rPr>
        <w:t>常见问题解答（一）</w:t>
      </w:r>
    </w:p>
    <w:p>
      <w:pPr>
        <w:spacing w:line="360" w:lineRule="auto"/>
        <w:ind w:firstLine="482" w:firstLineChars="200"/>
        <w:outlineLvl w:val="0"/>
        <w:rPr>
          <w:b/>
          <w:sz w:val="24"/>
          <w:szCs w:val="24"/>
        </w:rPr>
      </w:pPr>
      <w:r>
        <w:rPr>
          <w:rFonts w:hint="eastAsia"/>
          <w:b/>
          <w:sz w:val="24"/>
          <w:szCs w:val="24"/>
        </w:rPr>
        <w:t>一、2017年内控报告较2016年内控报告的变化</w:t>
      </w:r>
    </w:p>
    <w:p>
      <w:pPr>
        <w:spacing w:line="360" w:lineRule="auto"/>
        <w:ind w:firstLine="480" w:firstLineChars="200"/>
        <w:rPr>
          <w:sz w:val="24"/>
          <w:szCs w:val="24"/>
        </w:rPr>
      </w:pPr>
      <w:r>
        <w:rPr>
          <w:rFonts w:hint="eastAsia"/>
          <w:sz w:val="24"/>
          <w:szCs w:val="24"/>
        </w:rPr>
        <w:t>一方面考虑到各单位已经基本建立健全内部控制制度，在继续报告内部控制制度建立情况的基础上，增加了考察内部控制执行情况的量化指标；另一方面单位内部控制报告采取由填报人员在软件中填写基础信息，软件自动生成内控报告的方式，使得单位内部控制报告更加简洁，聚焦单位负责人关注的重要信息。</w:t>
      </w:r>
    </w:p>
    <w:p>
      <w:pPr>
        <w:spacing w:line="360" w:lineRule="auto"/>
        <w:ind w:firstLine="482" w:firstLineChars="200"/>
        <w:outlineLvl w:val="0"/>
        <w:rPr>
          <w:b/>
          <w:sz w:val="24"/>
          <w:szCs w:val="24"/>
        </w:rPr>
      </w:pPr>
      <w:r>
        <w:rPr>
          <w:rFonts w:hint="eastAsia"/>
          <w:b/>
          <w:sz w:val="24"/>
          <w:szCs w:val="24"/>
        </w:rPr>
        <w:t>二、内控报告报送方式</w:t>
      </w:r>
    </w:p>
    <w:p>
      <w:pPr>
        <w:spacing w:line="360" w:lineRule="auto"/>
        <w:ind w:firstLine="480" w:firstLineChars="200"/>
        <w:jc w:val="left"/>
        <w:rPr>
          <w:sz w:val="24"/>
          <w:szCs w:val="24"/>
        </w:rPr>
      </w:pPr>
      <w:r>
        <w:rPr>
          <w:rFonts w:hint="eastAsia"/>
          <w:sz w:val="24"/>
          <w:szCs w:val="24"/>
        </w:rPr>
        <w:t>行政事业单位内部控制报告报送采取“逐级汇总、单向报送”的方式。</w:t>
      </w:r>
    </w:p>
    <w:p>
      <w:pPr>
        <w:spacing w:line="360" w:lineRule="auto"/>
        <w:ind w:firstLine="482" w:firstLineChars="200"/>
        <w:jc w:val="left"/>
        <w:rPr>
          <w:sz w:val="24"/>
          <w:szCs w:val="24"/>
        </w:rPr>
      </w:pPr>
      <w:r>
        <w:rPr>
          <w:rFonts w:hint="eastAsia"/>
          <w:b/>
          <w:sz w:val="24"/>
          <w:szCs w:val="24"/>
        </w:rPr>
        <w:t>“逐级汇总”</w:t>
      </w:r>
      <w:r>
        <w:rPr>
          <w:rFonts w:hint="eastAsia"/>
          <w:sz w:val="24"/>
          <w:szCs w:val="24"/>
        </w:rPr>
        <w:t>即全国中央、省、市、县、乡五级行政管理区域，各级财政部门负责收集、审核、汇总本地区内控报告，并上报至上级财政部门。本地区报告包括本地区部门内控报告和下级财政部门上报内控报告。中央垂直管理部门应当按照垂直管理要求，审核并汇总本系统所属各级行政事业单位的内部控制报告。</w:t>
      </w:r>
    </w:p>
    <w:p>
      <w:pPr>
        <w:spacing w:line="360" w:lineRule="auto"/>
        <w:ind w:firstLine="482" w:firstLineChars="200"/>
        <w:jc w:val="left"/>
        <w:rPr>
          <w:sz w:val="24"/>
          <w:szCs w:val="24"/>
        </w:rPr>
      </w:pPr>
      <w:r>
        <w:rPr>
          <w:rFonts w:hint="eastAsia"/>
          <w:b/>
          <w:sz w:val="24"/>
          <w:szCs w:val="24"/>
        </w:rPr>
        <w:t>“单向报送”</w:t>
      </w:r>
      <w:r>
        <w:rPr>
          <w:rFonts w:hint="eastAsia"/>
          <w:sz w:val="24"/>
          <w:szCs w:val="24"/>
        </w:rPr>
        <w:t>即每一个行政事业单位仅向一个上级主管部门或同级财政部门报送内控报告。基层行政事业单位按照行政管理关系向上级主管部门单向报送，垂直管理部门向上级主管部门单向报送，非垂直管理部门向同级财政部门单向报送，各级财政部门向上级财政部门单向报送。</w:t>
      </w:r>
    </w:p>
    <w:p>
      <w:pPr>
        <w:spacing w:line="360" w:lineRule="auto"/>
        <w:ind w:firstLine="482" w:firstLineChars="200"/>
        <w:outlineLvl w:val="0"/>
        <w:rPr>
          <w:b/>
          <w:sz w:val="24"/>
          <w:szCs w:val="24"/>
        </w:rPr>
      </w:pPr>
      <w:r>
        <w:rPr>
          <w:rFonts w:hint="eastAsia"/>
          <w:b/>
          <w:sz w:val="24"/>
          <w:szCs w:val="24"/>
        </w:rPr>
        <w:t>三、新设立单位内控报告上报要求</w:t>
      </w:r>
    </w:p>
    <w:p>
      <w:pPr>
        <w:spacing w:line="360" w:lineRule="auto"/>
        <w:ind w:firstLine="480" w:firstLineChars="200"/>
        <w:rPr>
          <w:sz w:val="24"/>
          <w:szCs w:val="24"/>
        </w:rPr>
      </w:pPr>
      <w:r>
        <w:rPr>
          <w:rFonts w:hint="eastAsia"/>
          <w:sz w:val="24"/>
          <w:szCs w:val="24"/>
        </w:rPr>
        <w:t>2017年1月1日至12月31日期间新设立的行政事业单位，考虑到2017年度数据不完整，可不编报2017年行政事业单位内部控制报告。</w:t>
      </w:r>
    </w:p>
    <w:p>
      <w:pPr>
        <w:spacing w:line="360" w:lineRule="auto"/>
        <w:ind w:firstLine="482" w:firstLineChars="200"/>
        <w:jc w:val="left"/>
        <w:outlineLvl w:val="0"/>
        <w:rPr>
          <w:b/>
          <w:sz w:val="24"/>
          <w:szCs w:val="24"/>
        </w:rPr>
      </w:pPr>
      <w:r>
        <w:rPr>
          <w:rFonts w:hint="eastAsia"/>
          <w:b/>
          <w:sz w:val="24"/>
          <w:szCs w:val="24"/>
        </w:rPr>
        <w:t>四、内部控制开展进度填报注意事项</w:t>
      </w:r>
    </w:p>
    <w:p>
      <w:pPr>
        <w:spacing w:line="360" w:lineRule="auto"/>
        <w:ind w:firstLine="480" w:firstLineChars="200"/>
        <w:jc w:val="left"/>
        <w:outlineLvl w:val="0"/>
        <w:rPr>
          <w:sz w:val="24"/>
          <w:szCs w:val="24"/>
        </w:rPr>
      </w:pPr>
      <w:r>
        <w:rPr>
          <w:rFonts w:hint="eastAsia"/>
          <w:sz w:val="24"/>
          <w:szCs w:val="24"/>
        </w:rPr>
        <w:t>《2017年度行政事业单位内部控制报告》“填写说明”三、（一）“单位层面”第5款关于单位“内部控制开展进度”的表述主要针对六大经济业务领域较为完备的单位提供了内部控制建设进度的判断说明。鉴于各单位实际适用的业务领域存在差异，不一定完全适用六大经济业务领域（如有的单位并不存在建设项目管理），为此，这些单位在填报此项时，应注意以下事项：一是单位需结合本单位实际，在软件“内部控制信息系统情况表”中正确选择本单位适用的业务领域，并根据内控建设真实情况如实填报“内部控制建设进度”；二是本单位适用的业务领域内部控制制度体系正在建立或已全部完成建立，但未全部付诸实施的，可视为单位处于内部控制建立阶段；三是本单位适用的业务领域全部完成内部控制制度体系建立并付诸实施，但未全部采用信息化手段执行的，可视为单位处于内部控制实施阶段；四是本单位适用的经济业务领域全部完成内部控制制度体系建立并付诸实施，并且全部采用信息化手段执行，可视为本单位处于内部控制信息化阶段。</w:t>
      </w:r>
    </w:p>
    <w:p>
      <w:pPr>
        <w:spacing w:line="360" w:lineRule="auto"/>
        <w:ind w:firstLine="482" w:firstLineChars="200"/>
        <w:jc w:val="left"/>
        <w:outlineLvl w:val="0"/>
        <w:rPr>
          <w:b/>
          <w:sz w:val="24"/>
          <w:szCs w:val="24"/>
        </w:rPr>
      </w:pPr>
      <w:r>
        <w:rPr>
          <w:rFonts w:hint="eastAsia"/>
          <w:b/>
          <w:sz w:val="24"/>
          <w:szCs w:val="24"/>
        </w:rPr>
        <w:t>五、附件上传要求</w:t>
      </w:r>
    </w:p>
    <w:p>
      <w:pPr>
        <w:spacing w:line="360" w:lineRule="auto"/>
        <w:ind w:firstLine="480" w:firstLineChars="200"/>
        <w:jc w:val="left"/>
        <w:rPr>
          <w:rFonts w:hint="eastAsia"/>
          <w:sz w:val="24"/>
          <w:szCs w:val="24"/>
        </w:rPr>
      </w:pPr>
      <w:r>
        <w:rPr>
          <w:rFonts w:hint="eastAsia"/>
          <w:sz w:val="24"/>
          <w:szCs w:val="24"/>
        </w:rPr>
        <w:t>一是内控报告中上传附件必须体现填报数据的来源；二是每个上传附件大小不能超过30M。</w:t>
      </w:r>
    </w:p>
    <w:p>
      <w:pPr>
        <w:spacing w:line="360" w:lineRule="auto"/>
        <w:ind w:firstLine="480" w:firstLineChars="200"/>
        <w:jc w:val="left"/>
        <w:rPr>
          <w:rFonts w:hint="eastAsia"/>
          <w:sz w:val="24"/>
          <w:szCs w:val="24"/>
        </w:rPr>
      </w:pPr>
    </w:p>
    <w:p>
      <w:pPr>
        <w:rPr>
          <w:rFonts w:hint="eastAsia" w:ascii="宋体" w:hAnsi="Arial"/>
          <w:b/>
          <w:sz w:val="44"/>
          <w:szCs w:val="44"/>
          <w:lang w:val="en-US" w:eastAsia="zh-CN"/>
        </w:rPr>
      </w:pPr>
      <w:r>
        <w:rPr>
          <w:rFonts w:hint="eastAsia" w:ascii="宋体" w:hAnsi="Arial"/>
          <w:b/>
          <w:sz w:val="44"/>
          <w:szCs w:val="44"/>
          <w:lang w:val="en-US" w:eastAsia="zh-CN"/>
        </w:rPr>
        <w:t>六、软件操作简易工作流程</w:t>
      </w:r>
    </w:p>
    <w:p>
      <w:pPr>
        <w:numPr>
          <w:ilvl w:val="0"/>
          <w:numId w:val="1"/>
        </w:numPr>
        <w:rPr>
          <w:rFonts w:hint="eastAsia" w:ascii="宋体" w:hAnsi="Arial"/>
          <w:b w:val="0"/>
          <w:bCs/>
          <w:sz w:val="28"/>
          <w:szCs w:val="28"/>
          <w:lang w:val="en-US" w:eastAsia="zh-CN"/>
        </w:rPr>
      </w:pPr>
      <w:r>
        <w:rPr>
          <w:rFonts w:hint="eastAsia" w:ascii="宋体" w:hAnsi="Arial"/>
          <w:b w:val="0"/>
          <w:bCs/>
          <w:sz w:val="28"/>
          <w:szCs w:val="28"/>
          <w:lang w:val="en-US" w:eastAsia="zh-CN"/>
        </w:rPr>
        <w:t>请各单位开始填写之前仔细阅读操作手册或操作视频</w:t>
      </w:r>
    </w:p>
    <w:p>
      <w:pPr>
        <w:numPr>
          <w:ilvl w:val="0"/>
          <w:numId w:val="1"/>
        </w:numPr>
        <w:rPr>
          <w:rFonts w:hint="eastAsia" w:ascii="宋体" w:hAnsi="Arial"/>
          <w:b w:val="0"/>
          <w:bCs/>
          <w:sz w:val="28"/>
          <w:szCs w:val="28"/>
          <w:lang w:val="en-US" w:eastAsia="zh-CN"/>
        </w:rPr>
      </w:pPr>
      <w:r>
        <w:rPr>
          <w:rFonts w:hint="eastAsia" w:ascii="宋体" w:hAnsi="Arial"/>
          <w:b w:val="0"/>
          <w:bCs/>
          <w:sz w:val="28"/>
          <w:szCs w:val="28"/>
          <w:lang w:val="en-US" w:eastAsia="zh-CN"/>
        </w:rPr>
        <w:t>软件参数请装入最后一次更新的软件参数</w:t>
      </w:r>
    </w:p>
    <w:p>
      <w:pPr>
        <w:widowControl w:val="0"/>
        <w:numPr>
          <w:ilvl w:val="0"/>
          <w:numId w:val="0"/>
        </w:numPr>
        <w:jc w:val="both"/>
        <w:rPr>
          <w:rFonts w:hint="eastAsia" w:ascii="宋体" w:hAnsi="Arial"/>
          <w:b w:val="0"/>
          <w:bCs/>
          <w:sz w:val="28"/>
          <w:szCs w:val="28"/>
          <w:lang w:val="en-US" w:eastAsia="zh-CN"/>
        </w:rPr>
      </w:pPr>
      <w:r>
        <w:rPr>
          <w:rFonts w:hint="eastAsia" w:ascii="宋体" w:hAnsi="Arial"/>
          <w:b w:val="0"/>
          <w:bCs/>
          <w:sz w:val="28"/>
          <w:szCs w:val="28"/>
          <w:lang w:val="en-US" w:eastAsia="zh-CN"/>
        </w:rPr>
        <w:drawing>
          <wp:inline distT="0" distB="0" distL="114300" distR="114300">
            <wp:extent cx="4799965" cy="2181225"/>
            <wp:effectExtent l="0" t="0" r="635" b="9525"/>
            <wp:docPr id="1" name="图片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
                    <pic:cNvPicPr>
                      <a:picLocks noChangeAspect="1"/>
                    </pic:cNvPicPr>
                  </pic:nvPicPr>
                  <pic:blipFill>
                    <a:blip r:embed="rId4"/>
                    <a:stretch>
                      <a:fillRect/>
                    </a:stretch>
                  </pic:blipFill>
                  <pic:spPr>
                    <a:xfrm>
                      <a:off x="0" y="0"/>
                      <a:ext cx="4799965" cy="2181225"/>
                    </a:xfrm>
                    <a:prstGeom prst="rect">
                      <a:avLst/>
                    </a:prstGeom>
                    <a:noFill/>
                    <a:ln w="9525">
                      <a:noFill/>
                    </a:ln>
                  </pic:spPr>
                </pic:pic>
              </a:graphicData>
            </a:graphic>
          </wp:inline>
        </w:drawing>
      </w:r>
    </w:p>
    <w:p>
      <w:pPr>
        <w:numPr>
          <w:ilvl w:val="0"/>
          <w:numId w:val="1"/>
        </w:numPr>
        <w:rPr>
          <w:rFonts w:hint="eastAsia" w:ascii="宋体" w:hAnsi="Arial"/>
          <w:b w:val="0"/>
          <w:bCs/>
          <w:sz w:val="28"/>
          <w:szCs w:val="28"/>
          <w:lang w:val="en-US" w:eastAsia="zh-CN"/>
        </w:rPr>
      </w:pPr>
      <w:r>
        <w:rPr>
          <w:rFonts w:hint="eastAsia" w:ascii="宋体" w:hAnsi="Arial"/>
          <w:b w:val="0"/>
          <w:bCs/>
          <w:sz w:val="28"/>
          <w:szCs w:val="28"/>
          <w:lang w:val="en-US" w:eastAsia="zh-CN"/>
        </w:rPr>
        <w:t>需要填写的表格右侧或下侧有对本页表格的【填写要求】和【填写说明】，对填写内容有疑问的可以参照【填写说明】的提示填写</w:t>
      </w:r>
    </w:p>
    <w:p>
      <w:pPr>
        <w:widowControl w:val="0"/>
        <w:numPr>
          <w:ilvl w:val="0"/>
          <w:numId w:val="0"/>
        </w:numPr>
        <w:jc w:val="both"/>
        <w:rPr>
          <w:rFonts w:hint="eastAsia" w:ascii="宋体" w:hAnsi="Arial"/>
          <w:b w:val="0"/>
          <w:bCs/>
          <w:sz w:val="28"/>
          <w:szCs w:val="28"/>
          <w:lang w:val="en-US" w:eastAsia="zh-CN"/>
        </w:rPr>
      </w:pPr>
      <w:r>
        <w:rPr>
          <w:rFonts w:hint="eastAsia" w:ascii="宋体" w:hAnsi="Arial"/>
          <w:b w:val="0"/>
          <w:bCs/>
          <w:sz w:val="28"/>
          <w:szCs w:val="28"/>
          <w:lang w:val="en-US" w:eastAsia="zh-CN"/>
        </w:rPr>
        <w:drawing>
          <wp:inline distT="0" distB="0" distL="114300" distR="114300">
            <wp:extent cx="4314190" cy="2637790"/>
            <wp:effectExtent l="0" t="0" r="10160" b="10160"/>
            <wp:docPr id="3" name="图片 2"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3"/>
                    <pic:cNvPicPr>
                      <a:picLocks noChangeAspect="1"/>
                    </pic:cNvPicPr>
                  </pic:nvPicPr>
                  <pic:blipFill>
                    <a:blip r:embed="rId5"/>
                    <a:stretch>
                      <a:fillRect/>
                    </a:stretch>
                  </pic:blipFill>
                  <pic:spPr>
                    <a:xfrm>
                      <a:off x="0" y="0"/>
                      <a:ext cx="4314190" cy="2637790"/>
                    </a:xfrm>
                    <a:prstGeom prst="rect">
                      <a:avLst/>
                    </a:prstGeom>
                    <a:noFill/>
                    <a:ln w="9525">
                      <a:noFill/>
                    </a:ln>
                  </pic:spPr>
                </pic:pic>
              </a:graphicData>
            </a:graphic>
          </wp:inline>
        </w:drawing>
      </w:r>
    </w:p>
    <w:p>
      <w:pPr>
        <w:numPr>
          <w:ilvl w:val="0"/>
          <w:numId w:val="1"/>
        </w:numPr>
        <w:rPr>
          <w:rFonts w:hint="eastAsia" w:ascii="宋体" w:hAnsi="Arial"/>
          <w:b w:val="0"/>
          <w:bCs/>
          <w:sz w:val="28"/>
          <w:szCs w:val="28"/>
          <w:lang w:val="en-US" w:eastAsia="zh-CN"/>
        </w:rPr>
      </w:pPr>
      <w:r>
        <w:rPr>
          <w:rFonts w:hint="eastAsia" w:ascii="宋体" w:hAnsi="Arial"/>
          <w:b w:val="0"/>
          <w:bCs/>
          <w:sz w:val="28"/>
          <w:szCs w:val="28"/>
          <w:lang w:val="en-US" w:eastAsia="zh-CN"/>
        </w:rPr>
        <w:t>填写完成后切记点击保存，保存后表格会有星号标识</w:t>
      </w:r>
    </w:p>
    <w:p>
      <w:pPr>
        <w:widowControl w:val="0"/>
        <w:numPr>
          <w:ilvl w:val="0"/>
          <w:numId w:val="0"/>
        </w:numPr>
        <w:jc w:val="both"/>
        <w:rPr>
          <w:rFonts w:hint="eastAsia" w:ascii="宋体" w:hAnsi="Arial"/>
          <w:b w:val="0"/>
          <w:bCs/>
          <w:sz w:val="28"/>
          <w:szCs w:val="28"/>
          <w:lang w:val="en-US" w:eastAsia="zh-CN"/>
        </w:rPr>
      </w:pPr>
      <w:r>
        <w:rPr>
          <w:rFonts w:hint="eastAsia" w:ascii="宋体" w:hAnsi="Arial"/>
          <w:b w:val="0"/>
          <w:bCs/>
          <w:sz w:val="28"/>
          <w:szCs w:val="28"/>
          <w:lang w:val="en-US" w:eastAsia="zh-CN"/>
        </w:rPr>
        <w:drawing>
          <wp:inline distT="0" distB="0" distL="114300" distR="114300">
            <wp:extent cx="5272405" cy="233680"/>
            <wp:effectExtent l="0" t="0" r="4445" b="13970"/>
            <wp:docPr id="2" name="图片 3"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descr="4"/>
                    <pic:cNvPicPr>
                      <a:picLocks noChangeAspect="1"/>
                    </pic:cNvPicPr>
                  </pic:nvPicPr>
                  <pic:blipFill>
                    <a:blip r:embed="rId6"/>
                    <a:stretch>
                      <a:fillRect/>
                    </a:stretch>
                  </pic:blipFill>
                  <pic:spPr>
                    <a:xfrm>
                      <a:off x="0" y="0"/>
                      <a:ext cx="5272405" cy="233680"/>
                    </a:xfrm>
                    <a:prstGeom prst="rect">
                      <a:avLst/>
                    </a:prstGeom>
                    <a:noFill/>
                    <a:ln w="9525">
                      <a:noFill/>
                    </a:ln>
                  </pic:spPr>
                </pic:pic>
              </a:graphicData>
            </a:graphic>
          </wp:inline>
        </w:drawing>
      </w:r>
    </w:p>
    <w:p>
      <w:pPr>
        <w:numPr>
          <w:ilvl w:val="0"/>
          <w:numId w:val="1"/>
        </w:numPr>
        <w:rPr>
          <w:rFonts w:hint="eastAsia" w:ascii="宋体" w:hAnsi="Arial"/>
          <w:b w:val="0"/>
          <w:bCs/>
          <w:sz w:val="28"/>
          <w:szCs w:val="28"/>
          <w:lang w:val="en-US" w:eastAsia="zh-CN"/>
        </w:rPr>
      </w:pPr>
      <w:r>
        <w:rPr>
          <w:rFonts w:hint="eastAsia" w:ascii="宋体" w:hAnsi="Arial"/>
          <w:b w:val="0"/>
          <w:bCs/>
          <w:sz w:val="28"/>
          <w:szCs w:val="28"/>
          <w:lang w:val="en-US" w:eastAsia="zh-CN"/>
        </w:rPr>
        <w:t>填写表格内容时对于有下拉列表选项的，一定要在选项中选择，不要填写其他内容</w:t>
      </w:r>
    </w:p>
    <w:p>
      <w:pPr>
        <w:widowControl w:val="0"/>
        <w:numPr>
          <w:ilvl w:val="0"/>
          <w:numId w:val="0"/>
        </w:numPr>
        <w:jc w:val="both"/>
        <w:rPr>
          <w:rFonts w:hint="eastAsia" w:ascii="宋体" w:hAnsi="Arial"/>
          <w:b w:val="0"/>
          <w:bCs/>
          <w:sz w:val="28"/>
          <w:szCs w:val="28"/>
          <w:lang w:val="en-US" w:eastAsia="zh-CN"/>
        </w:rPr>
      </w:pPr>
      <w:r>
        <w:rPr>
          <w:rFonts w:hint="eastAsia" w:ascii="宋体" w:hAnsi="Arial"/>
          <w:b w:val="0"/>
          <w:bCs/>
          <w:sz w:val="28"/>
          <w:szCs w:val="28"/>
          <w:lang w:val="en-US" w:eastAsia="zh-CN"/>
        </w:rPr>
        <w:drawing>
          <wp:inline distT="0" distB="0" distL="114300" distR="114300">
            <wp:extent cx="5272405" cy="767080"/>
            <wp:effectExtent l="0" t="0" r="4445" b="13970"/>
            <wp:docPr id="4" name="图片 4"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5"/>
                    <pic:cNvPicPr>
                      <a:picLocks noChangeAspect="1"/>
                    </pic:cNvPicPr>
                  </pic:nvPicPr>
                  <pic:blipFill>
                    <a:blip r:embed="rId7"/>
                    <a:stretch>
                      <a:fillRect/>
                    </a:stretch>
                  </pic:blipFill>
                  <pic:spPr>
                    <a:xfrm>
                      <a:off x="0" y="0"/>
                      <a:ext cx="5272405" cy="767080"/>
                    </a:xfrm>
                    <a:prstGeom prst="rect">
                      <a:avLst/>
                    </a:prstGeom>
                    <a:noFill/>
                    <a:ln w="9525">
                      <a:noFill/>
                    </a:ln>
                  </pic:spPr>
                </pic:pic>
              </a:graphicData>
            </a:graphic>
          </wp:inline>
        </w:drawing>
      </w:r>
    </w:p>
    <w:p>
      <w:pPr>
        <w:numPr>
          <w:ilvl w:val="0"/>
          <w:numId w:val="1"/>
        </w:numPr>
        <w:rPr>
          <w:rFonts w:hint="eastAsia" w:ascii="宋体" w:hAnsi="Arial"/>
          <w:b w:val="0"/>
          <w:bCs/>
          <w:sz w:val="28"/>
          <w:szCs w:val="28"/>
          <w:lang w:val="en-US" w:eastAsia="zh-CN"/>
        </w:rPr>
      </w:pPr>
      <w:r>
        <w:rPr>
          <w:rFonts w:hint="eastAsia" w:ascii="宋体" w:hAnsi="Arial"/>
          <w:b w:val="0"/>
          <w:bCs/>
          <w:sz w:val="28"/>
          <w:szCs w:val="28"/>
          <w:lang w:val="en-US" w:eastAsia="zh-CN"/>
        </w:rPr>
        <w:t>表格内容前后呼应，存在逻辑关系，例如：预算业务管理中，前表选择“否”则后表中关于预算业务的选择只能选择为“不适用”或“否”；反之，如果选择“是”则在后表中可以根据实际情况选择“是”或“否”</w:t>
      </w:r>
    </w:p>
    <w:p>
      <w:pPr>
        <w:widowControl w:val="0"/>
        <w:numPr>
          <w:ilvl w:val="0"/>
          <w:numId w:val="0"/>
        </w:numPr>
        <w:jc w:val="both"/>
        <w:rPr>
          <w:rFonts w:hint="eastAsia" w:ascii="宋体" w:hAnsi="Arial"/>
          <w:b w:val="0"/>
          <w:bCs/>
          <w:sz w:val="28"/>
          <w:szCs w:val="28"/>
          <w:lang w:val="en-US" w:eastAsia="zh-CN"/>
        </w:rPr>
      </w:pPr>
      <w:r>
        <w:rPr>
          <w:rFonts w:hint="eastAsia" w:ascii="宋体" w:hAnsi="Arial"/>
          <w:b w:val="0"/>
          <w:bCs/>
          <w:sz w:val="28"/>
          <w:szCs w:val="28"/>
          <w:lang w:val="en-US" w:eastAsia="zh-CN"/>
        </w:rPr>
        <w:drawing>
          <wp:inline distT="0" distB="0" distL="114300" distR="114300">
            <wp:extent cx="1266825" cy="1057275"/>
            <wp:effectExtent l="0" t="0" r="9525" b="9525"/>
            <wp:docPr id="5" name="图片 5" descr="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6.1"/>
                    <pic:cNvPicPr>
                      <a:picLocks noChangeAspect="1"/>
                    </pic:cNvPicPr>
                  </pic:nvPicPr>
                  <pic:blipFill>
                    <a:blip r:embed="rId8"/>
                    <a:stretch>
                      <a:fillRect/>
                    </a:stretch>
                  </pic:blipFill>
                  <pic:spPr>
                    <a:xfrm>
                      <a:off x="0" y="0"/>
                      <a:ext cx="1266825" cy="1057275"/>
                    </a:xfrm>
                    <a:prstGeom prst="rect">
                      <a:avLst/>
                    </a:prstGeom>
                    <a:noFill/>
                    <a:ln w="9525">
                      <a:noFill/>
                    </a:ln>
                  </pic:spPr>
                </pic:pic>
              </a:graphicData>
            </a:graphic>
          </wp:inline>
        </w:drawing>
      </w:r>
      <w:r>
        <w:rPr>
          <w:rFonts w:hint="eastAsia" w:ascii="宋体" w:hAnsi="Arial"/>
          <w:b w:val="0"/>
          <w:bCs/>
          <w:sz w:val="28"/>
          <w:szCs w:val="28"/>
          <w:lang w:val="en-US" w:eastAsia="zh-CN"/>
        </w:rPr>
        <w:drawing>
          <wp:inline distT="0" distB="0" distL="114300" distR="114300">
            <wp:extent cx="1069340" cy="1809750"/>
            <wp:effectExtent l="0" t="0" r="16510" b="0"/>
            <wp:docPr id="6" name="图片 6" descr="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6.2"/>
                    <pic:cNvPicPr>
                      <a:picLocks noChangeAspect="1"/>
                    </pic:cNvPicPr>
                  </pic:nvPicPr>
                  <pic:blipFill>
                    <a:blip r:embed="rId9"/>
                    <a:stretch>
                      <a:fillRect/>
                    </a:stretch>
                  </pic:blipFill>
                  <pic:spPr>
                    <a:xfrm>
                      <a:off x="0" y="0"/>
                      <a:ext cx="1069340" cy="1809750"/>
                    </a:xfrm>
                    <a:prstGeom prst="rect">
                      <a:avLst/>
                    </a:prstGeom>
                    <a:noFill/>
                    <a:ln w="9525">
                      <a:noFill/>
                    </a:ln>
                  </pic:spPr>
                </pic:pic>
              </a:graphicData>
            </a:graphic>
          </wp:inline>
        </w:drawing>
      </w:r>
      <w:r>
        <w:rPr>
          <w:rFonts w:hint="eastAsia" w:ascii="宋体" w:hAnsi="Arial"/>
          <w:b w:val="0"/>
          <w:bCs/>
          <w:sz w:val="28"/>
          <w:szCs w:val="28"/>
          <w:lang w:val="en-US" w:eastAsia="zh-CN"/>
        </w:rPr>
        <w:drawing>
          <wp:inline distT="0" distB="0" distL="114300" distR="114300">
            <wp:extent cx="2933700" cy="1400175"/>
            <wp:effectExtent l="0" t="0" r="0" b="9525"/>
            <wp:docPr id="7" name="图片 7" descr="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6.3"/>
                    <pic:cNvPicPr>
                      <a:picLocks noChangeAspect="1"/>
                    </pic:cNvPicPr>
                  </pic:nvPicPr>
                  <pic:blipFill>
                    <a:blip r:embed="rId10"/>
                    <a:stretch>
                      <a:fillRect/>
                    </a:stretch>
                  </pic:blipFill>
                  <pic:spPr>
                    <a:xfrm>
                      <a:off x="0" y="0"/>
                      <a:ext cx="2933700" cy="1400175"/>
                    </a:xfrm>
                    <a:prstGeom prst="rect">
                      <a:avLst/>
                    </a:prstGeom>
                    <a:noFill/>
                    <a:ln w="9525">
                      <a:noFill/>
                    </a:ln>
                  </pic:spPr>
                </pic:pic>
              </a:graphicData>
            </a:graphic>
          </wp:inline>
        </w:drawing>
      </w:r>
    </w:p>
    <w:p>
      <w:pPr>
        <w:numPr>
          <w:ilvl w:val="0"/>
          <w:numId w:val="1"/>
        </w:numPr>
        <w:rPr>
          <w:rFonts w:hint="eastAsia" w:ascii="宋体" w:hAnsi="Arial"/>
          <w:b w:val="0"/>
          <w:bCs/>
          <w:sz w:val="28"/>
          <w:szCs w:val="28"/>
          <w:lang w:val="en-US" w:eastAsia="zh-CN"/>
        </w:rPr>
      </w:pPr>
      <w:r>
        <w:rPr>
          <w:rFonts w:hint="eastAsia" w:ascii="宋体" w:hAnsi="Arial"/>
          <w:b w:val="0"/>
          <w:bCs/>
          <w:sz w:val="28"/>
          <w:szCs w:val="28"/>
          <w:lang w:val="en-US" w:eastAsia="zh-CN"/>
        </w:rPr>
        <w:t>相较于2016年度的内控填报，主要增加更为细致的【附件信息统计表】，对于已经完善的内控管理制度的业务，需要上传更为详尽的制度以及流程图附件</w:t>
      </w:r>
    </w:p>
    <w:p>
      <w:pPr>
        <w:numPr>
          <w:ilvl w:val="0"/>
          <w:numId w:val="0"/>
        </w:numPr>
        <w:rPr>
          <w:rFonts w:hint="eastAsia" w:ascii="宋体" w:hAnsi="Arial"/>
          <w:b w:val="0"/>
          <w:bCs/>
          <w:sz w:val="28"/>
          <w:szCs w:val="28"/>
          <w:lang w:val="en-US" w:eastAsia="zh-CN"/>
        </w:rPr>
      </w:pPr>
      <w:r>
        <w:rPr>
          <w:rFonts w:hint="eastAsia" w:ascii="宋体" w:hAnsi="Arial"/>
          <w:b w:val="0"/>
          <w:bCs/>
          <w:sz w:val="28"/>
          <w:szCs w:val="28"/>
          <w:lang w:val="en-US" w:eastAsia="zh-CN"/>
        </w:rPr>
        <w:drawing>
          <wp:inline distT="0" distB="0" distL="114300" distR="114300">
            <wp:extent cx="5176520" cy="2410460"/>
            <wp:effectExtent l="0" t="0" r="5080" b="8890"/>
            <wp:docPr id="8" name="图片 8" descr="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7"/>
                    <pic:cNvPicPr>
                      <a:picLocks noChangeAspect="1"/>
                    </pic:cNvPicPr>
                  </pic:nvPicPr>
                  <pic:blipFill>
                    <a:blip r:embed="rId11"/>
                    <a:stretch>
                      <a:fillRect/>
                    </a:stretch>
                  </pic:blipFill>
                  <pic:spPr>
                    <a:xfrm>
                      <a:off x="0" y="0"/>
                      <a:ext cx="5176520" cy="2410460"/>
                    </a:xfrm>
                    <a:prstGeom prst="rect">
                      <a:avLst/>
                    </a:prstGeom>
                    <a:noFill/>
                    <a:ln w="9525">
                      <a:noFill/>
                    </a:ln>
                  </pic:spPr>
                </pic:pic>
              </a:graphicData>
            </a:graphic>
          </wp:inline>
        </w:drawing>
      </w:r>
    </w:p>
    <w:p>
      <w:pPr>
        <w:numPr>
          <w:ilvl w:val="0"/>
          <w:numId w:val="1"/>
        </w:numPr>
        <w:rPr>
          <w:rFonts w:hint="eastAsia" w:ascii="宋体" w:hAnsi="Arial"/>
          <w:b w:val="0"/>
          <w:bCs/>
          <w:sz w:val="28"/>
          <w:szCs w:val="28"/>
          <w:lang w:val="en-US" w:eastAsia="zh-CN"/>
        </w:rPr>
      </w:pPr>
      <w:r>
        <w:rPr>
          <w:rFonts w:hint="eastAsia" w:ascii="宋体" w:hAnsi="Arial"/>
          <w:b w:val="0"/>
          <w:bCs/>
          <w:sz w:val="28"/>
          <w:szCs w:val="28"/>
          <w:lang w:val="en-US" w:eastAsia="zh-CN"/>
        </w:rPr>
        <w:t>表格中带有【运算表】字样的表，不需要手动填写，需要自动运算得出结果</w:t>
      </w:r>
    </w:p>
    <w:p>
      <w:pPr>
        <w:numPr>
          <w:ilvl w:val="0"/>
          <w:numId w:val="0"/>
        </w:numPr>
        <w:rPr>
          <w:rFonts w:hint="eastAsia" w:ascii="宋体" w:hAnsi="Arial"/>
          <w:b w:val="0"/>
          <w:bCs/>
          <w:sz w:val="28"/>
          <w:szCs w:val="28"/>
          <w:lang w:val="en-US" w:eastAsia="zh-CN"/>
        </w:rPr>
      </w:pPr>
      <w:r>
        <w:rPr>
          <w:rFonts w:hint="eastAsia" w:ascii="宋体" w:hAnsi="Arial"/>
          <w:b w:val="0"/>
          <w:bCs/>
          <w:sz w:val="28"/>
          <w:szCs w:val="28"/>
          <w:lang w:val="en-US" w:eastAsia="zh-CN"/>
        </w:rPr>
        <w:drawing>
          <wp:inline distT="0" distB="0" distL="114300" distR="114300">
            <wp:extent cx="2590165" cy="447675"/>
            <wp:effectExtent l="0" t="0" r="635" b="9525"/>
            <wp:docPr id="9" name="图片 9"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8"/>
                    <pic:cNvPicPr>
                      <a:picLocks noChangeAspect="1"/>
                    </pic:cNvPicPr>
                  </pic:nvPicPr>
                  <pic:blipFill>
                    <a:blip r:embed="rId12"/>
                    <a:stretch>
                      <a:fillRect/>
                    </a:stretch>
                  </pic:blipFill>
                  <pic:spPr>
                    <a:xfrm>
                      <a:off x="0" y="0"/>
                      <a:ext cx="2590165" cy="447675"/>
                    </a:xfrm>
                    <a:prstGeom prst="rect">
                      <a:avLst/>
                    </a:prstGeom>
                    <a:noFill/>
                    <a:ln w="9525">
                      <a:noFill/>
                    </a:ln>
                  </pic:spPr>
                </pic:pic>
              </a:graphicData>
            </a:graphic>
          </wp:inline>
        </w:drawing>
      </w:r>
    </w:p>
    <w:p>
      <w:pPr>
        <w:numPr>
          <w:ilvl w:val="0"/>
          <w:numId w:val="1"/>
        </w:numPr>
        <w:rPr>
          <w:rFonts w:hint="eastAsia" w:ascii="宋体" w:hAnsi="Arial"/>
          <w:b w:val="0"/>
          <w:bCs/>
          <w:sz w:val="28"/>
          <w:szCs w:val="28"/>
          <w:lang w:val="en-US" w:eastAsia="zh-CN"/>
        </w:rPr>
      </w:pPr>
      <w:r>
        <w:rPr>
          <w:rFonts w:hint="eastAsia" w:ascii="宋体" w:hAnsi="Arial"/>
          <w:b w:val="0"/>
          <w:bCs/>
          <w:sz w:val="28"/>
          <w:szCs w:val="28"/>
          <w:lang w:val="en-US" w:eastAsia="zh-CN"/>
        </w:rPr>
        <w:t>表格填写完毕后切记【运算】-【审核】，确保没有错误信息后再生成纸质版的报告</w:t>
      </w:r>
    </w:p>
    <w:p>
      <w:pPr>
        <w:numPr>
          <w:ilvl w:val="0"/>
          <w:numId w:val="0"/>
        </w:numPr>
        <w:rPr>
          <w:rFonts w:hint="eastAsia" w:ascii="宋体" w:hAnsi="Arial"/>
          <w:b w:val="0"/>
          <w:bCs/>
          <w:sz w:val="28"/>
          <w:szCs w:val="28"/>
          <w:lang w:val="en-US" w:eastAsia="zh-CN"/>
        </w:rPr>
      </w:pPr>
      <w:r>
        <w:rPr>
          <w:rFonts w:hint="eastAsia" w:ascii="宋体" w:hAnsi="Arial"/>
          <w:b w:val="0"/>
          <w:bCs/>
          <w:sz w:val="28"/>
          <w:szCs w:val="28"/>
          <w:lang w:val="en-US" w:eastAsia="zh-CN"/>
        </w:rPr>
        <w:drawing>
          <wp:inline distT="0" distB="0" distL="114300" distR="114300">
            <wp:extent cx="4523740" cy="3138805"/>
            <wp:effectExtent l="0" t="0" r="10160" b="4445"/>
            <wp:docPr id="10" name="图片 10" descr="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9"/>
                    <pic:cNvPicPr>
                      <a:picLocks noChangeAspect="1"/>
                    </pic:cNvPicPr>
                  </pic:nvPicPr>
                  <pic:blipFill>
                    <a:blip r:embed="rId13"/>
                    <a:stretch>
                      <a:fillRect/>
                    </a:stretch>
                  </pic:blipFill>
                  <pic:spPr>
                    <a:xfrm>
                      <a:off x="0" y="0"/>
                      <a:ext cx="4523740" cy="3138805"/>
                    </a:xfrm>
                    <a:prstGeom prst="rect">
                      <a:avLst/>
                    </a:prstGeom>
                    <a:noFill/>
                    <a:ln w="9525">
                      <a:noFill/>
                    </a:ln>
                  </pic:spPr>
                </pic:pic>
              </a:graphicData>
            </a:graphic>
          </wp:inline>
        </w:drawing>
      </w:r>
    </w:p>
    <w:p>
      <w:pPr>
        <w:numPr>
          <w:ilvl w:val="0"/>
          <w:numId w:val="0"/>
        </w:numPr>
        <w:rPr>
          <w:rFonts w:hint="eastAsia" w:ascii="宋体" w:hAnsi="Arial"/>
          <w:b w:val="0"/>
          <w:bCs/>
          <w:sz w:val="28"/>
          <w:szCs w:val="28"/>
          <w:lang w:val="en-US" w:eastAsia="zh-CN"/>
        </w:rPr>
      </w:pPr>
    </w:p>
    <w:p>
      <w:pPr>
        <w:numPr>
          <w:ilvl w:val="0"/>
          <w:numId w:val="0"/>
        </w:numPr>
        <w:rPr>
          <w:rFonts w:hint="eastAsia" w:ascii="宋体" w:hAnsi="Arial"/>
          <w:b w:val="0"/>
          <w:bCs/>
          <w:sz w:val="28"/>
          <w:szCs w:val="28"/>
          <w:lang w:val="en-US" w:eastAsia="zh-CN"/>
        </w:rPr>
      </w:pPr>
      <w:r>
        <w:rPr>
          <w:rFonts w:hint="eastAsia" w:ascii="宋体" w:hAnsi="Arial"/>
          <w:b w:val="0"/>
          <w:bCs/>
          <w:sz w:val="28"/>
          <w:szCs w:val="28"/>
          <w:lang w:val="en-US" w:eastAsia="zh-CN"/>
        </w:rPr>
        <w:t>注：其他内容与2016年度填写规则基本一致，填写时可以参照上年度填写流程填写，需要协助处理内控相关事宜，或对内控填写过程中有疑问的可以联系安阳地区技术服务中心。</w:t>
      </w:r>
    </w:p>
    <w:p>
      <w:pPr>
        <w:numPr>
          <w:ilvl w:val="0"/>
          <w:numId w:val="0"/>
        </w:numPr>
        <w:ind w:left="420" w:leftChars="0" w:firstLine="420" w:firstLineChars="0"/>
        <w:rPr>
          <w:rFonts w:hint="eastAsia" w:ascii="宋体" w:hAnsi="Arial"/>
          <w:b w:val="0"/>
          <w:bCs/>
          <w:sz w:val="28"/>
          <w:szCs w:val="28"/>
          <w:lang w:val="en-US" w:eastAsia="zh-CN"/>
        </w:rPr>
      </w:pPr>
      <w:r>
        <w:rPr>
          <w:rFonts w:hint="eastAsia" w:ascii="宋体" w:hAnsi="Arial"/>
          <w:b w:val="0"/>
          <w:bCs/>
          <w:sz w:val="28"/>
          <w:szCs w:val="28"/>
          <w:lang w:val="en-US" w:eastAsia="zh-CN"/>
        </w:rPr>
        <w:t>联系人：黄老师</w:t>
      </w:r>
    </w:p>
    <w:p>
      <w:pPr>
        <w:numPr>
          <w:ilvl w:val="0"/>
          <w:numId w:val="0"/>
        </w:numPr>
        <w:ind w:left="420" w:leftChars="0" w:firstLine="420" w:firstLineChars="0"/>
        <w:rPr>
          <w:rFonts w:hint="eastAsia" w:ascii="宋体" w:hAnsi="Arial"/>
          <w:b w:val="0"/>
          <w:bCs/>
          <w:sz w:val="32"/>
          <w:szCs w:val="32"/>
          <w:lang w:val="en-US" w:eastAsia="zh-CN"/>
        </w:rPr>
      </w:pPr>
      <w:r>
        <w:rPr>
          <w:rFonts w:hint="eastAsia" w:ascii="宋体" w:hAnsi="Arial"/>
          <w:b w:val="0"/>
          <w:bCs/>
          <w:sz w:val="28"/>
          <w:szCs w:val="28"/>
          <w:lang w:val="en-US" w:eastAsia="zh-CN"/>
        </w:rPr>
        <w:t>联系电话：</w:t>
      </w:r>
      <w:r>
        <w:rPr>
          <w:rFonts w:hint="eastAsia" w:ascii="宋体" w:hAnsi="宋体" w:eastAsia="宋体" w:cs="宋体"/>
          <w:color w:val="2B2D33"/>
          <w:kern w:val="0"/>
          <w:sz w:val="32"/>
          <w:szCs w:val="32"/>
          <w:lang w:val="en-US" w:eastAsia="zh-CN" w:bidi="ar"/>
        </w:rPr>
        <w:t>0372-5081816</w:t>
      </w:r>
      <w:r>
        <w:rPr>
          <w:rFonts w:hint="eastAsia" w:ascii="宋体" w:hAnsi="宋体" w:eastAsia="宋体" w:cs="宋体"/>
          <w:color w:val="000000"/>
          <w:kern w:val="0"/>
          <w:sz w:val="32"/>
          <w:szCs w:val="32"/>
          <w:lang w:val="en-US" w:eastAsia="zh-CN" w:bidi="ar"/>
        </w:rPr>
        <w:t> </w:t>
      </w:r>
      <w:r>
        <w:rPr>
          <w:rFonts w:hint="eastAsia" w:ascii="宋体" w:hAnsi="Arial"/>
          <w:b w:val="0"/>
          <w:bCs/>
          <w:sz w:val="32"/>
          <w:szCs w:val="32"/>
          <w:lang w:val="en-US" w:eastAsia="zh-CN"/>
        </w:rPr>
        <w:t>18568433090</w:t>
      </w:r>
    </w:p>
    <w:p>
      <w:pPr>
        <w:numPr>
          <w:ilvl w:val="0"/>
          <w:numId w:val="0"/>
        </w:numPr>
        <w:ind w:left="420" w:leftChars="0" w:firstLine="420" w:firstLineChars="0"/>
        <w:rPr>
          <w:rFonts w:hint="eastAsia" w:ascii="宋体" w:hAnsi="Arial"/>
          <w:b w:val="0"/>
          <w:bCs/>
          <w:sz w:val="28"/>
          <w:szCs w:val="28"/>
          <w:lang w:val="en-US" w:eastAsia="zh-CN"/>
        </w:rPr>
      </w:pPr>
    </w:p>
    <w:p>
      <w:pPr>
        <w:numPr>
          <w:ilvl w:val="0"/>
          <w:numId w:val="0"/>
        </w:numPr>
        <w:jc w:val="right"/>
        <w:rPr>
          <w:rFonts w:hint="eastAsia" w:ascii="宋体" w:hAnsi="Arial"/>
          <w:b w:val="0"/>
          <w:bCs/>
          <w:sz w:val="28"/>
          <w:szCs w:val="28"/>
          <w:lang w:val="en-US" w:eastAsia="zh-CN"/>
        </w:rPr>
      </w:pPr>
      <w:r>
        <w:rPr>
          <w:rFonts w:hint="eastAsia" w:ascii="宋体" w:hAnsi="Arial"/>
          <w:b w:val="0"/>
          <w:bCs/>
          <w:sz w:val="28"/>
          <w:szCs w:val="28"/>
          <w:lang w:val="en-US" w:eastAsia="zh-CN"/>
        </w:rPr>
        <w:t>2018年2月1日</w:t>
      </w:r>
    </w:p>
    <w:p>
      <w:pPr>
        <w:spacing w:line="360" w:lineRule="auto"/>
        <w:ind w:firstLine="480" w:firstLineChars="200"/>
        <w:jc w:val="left"/>
        <w:rPr>
          <w:rFonts w:hint="eastAsia"/>
          <w:sz w:val="24"/>
          <w:szCs w:val="24"/>
        </w:rPr>
      </w:pPr>
      <w:bookmarkStart w:id="0" w:name="_GoBack"/>
      <w:bookmarkEnd w:id="0"/>
    </w:p>
    <w:sectPr>
      <w:pgSz w:w="12240" w:h="15840"/>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altName w:val="微软雅黑"/>
    <w:panose1 w:val="02010601030101010101"/>
    <w:charset w:val="86"/>
    <w:family w:val="auto"/>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华文仿宋">
    <w:altName w:val="仿宋"/>
    <w:panose1 w:val="02010600040101010101"/>
    <w:charset w:val="86"/>
    <w:family w:val="auto"/>
    <w:pitch w:val="default"/>
    <w:sig w:usb0="00000000" w:usb1="00000000" w:usb2="00000010" w:usb3="00000000" w:csb0="0004009F" w:csb1="00000000"/>
  </w:font>
  <w:font w:name="楷体">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微软雅黑">
    <w:panose1 w:val="020B0503020204020204"/>
    <w:charset w:val="86"/>
    <w:family w:val="swiss"/>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Courier New">
    <w:panose1 w:val="02070309020205020404"/>
    <w:charset w:val="00"/>
    <w:family w:val="auto"/>
    <w:pitch w:val="default"/>
    <w:sig w:usb0="E0002AFF" w:usb1="C0007843" w:usb2="00000009" w:usb3="00000000" w:csb0="400001FF" w:csb1="FFFF0000"/>
  </w:font>
  <w:font w:name="Verdana">
    <w:panose1 w:val="020B0604030504040204"/>
    <w:charset w:val="00"/>
    <w:family w:val="auto"/>
    <w:pitch w:val="default"/>
    <w:sig w:usb0="A10006FF" w:usb1="4000205B" w:usb2="0000001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700395"/>
    <w:multiLevelType w:val="singleLevel"/>
    <w:tmpl w:val="5A700395"/>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9A645D"/>
    <w:rsid w:val="00080210"/>
    <w:rsid w:val="00102345"/>
    <w:rsid w:val="00126758"/>
    <w:rsid w:val="001C3202"/>
    <w:rsid w:val="00207A35"/>
    <w:rsid w:val="002A5B82"/>
    <w:rsid w:val="002A6780"/>
    <w:rsid w:val="002F6AB4"/>
    <w:rsid w:val="003919D5"/>
    <w:rsid w:val="003F185D"/>
    <w:rsid w:val="004D25D7"/>
    <w:rsid w:val="00512FA1"/>
    <w:rsid w:val="005322FD"/>
    <w:rsid w:val="005464B2"/>
    <w:rsid w:val="005A2610"/>
    <w:rsid w:val="005C6C69"/>
    <w:rsid w:val="005D4345"/>
    <w:rsid w:val="005F67F2"/>
    <w:rsid w:val="00617929"/>
    <w:rsid w:val="0063483B"/>
    <w:rsid w:val="00634A38"/>
    <w:rsid w:val="00653A82"/>
    <w:rsid w:val="006677B9"/>
    <w:rsid w:val="0069563B"/>
    <w:rsid w:val="006E38ED"/>
    <w:rsid w:val="00720940"/>
    <w:rsid w:val="007B4A75"/>
    <w:rsid w:val="008A3FB6"/>
    <w:rsid w:val="008C73FE"/>
    <w:rsid w:val="008D6BF4"/>
    <w:rsid w:val="008E2D38"/>
    <w:rsid w:val="00945281"/>
    <w:rsid w:val="00964226"/>
    <w:rsid w:val="009824BA"/>
    <w:rsid w:val="009A645D"/>
    <w:rsid w:val="00A04AAA"/>
    <w:rsid w:val="00AC4D02"/>
    <w:rsid w:val="00B4593E"/>
    <w:rsid w:val="00B8422D"/>
    <w:rsid w:val="00BE2939"/>
    <w:rsid w:val="00BF05D4"/>
    <w:rsid w:val="00C24109"/>
    <w:rsid w:val="00C55116"/>
    <w:rsid w:val="00C865AF"/>
    <w:rsid w:val="00CB4DD8"/>
    <w:rsid w:val="00CD6D40"/>
    <w:rsid w:val="00D52FC5"/>
    <w:rsid w:val="00DD71D1"/>
    <w:rsid w:val="00DF613D"/>
    <w:rsid w:val="00ED1A57"/>
    <w:rsid w:val="00FA385D"/>
    <w:rsid w:val="00FD4331"/>
    <w:rsid w:val="00FD49A5"/>
    <w:rsid w:val="0DD93713"/>
    <w:rsid w:val="25B42601"/>
    <w:rsid w:val="3702463D"/>
    <w:rsid w:val="71393D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qFormat="1" w:uiPriority="99" w:semiHidden="0"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Document Map"/>
    <w:basedOn w:val="1"/>
    <w:link w:val="8"/>
    <w:unhideWhenUsed/>
    <w:qFormat/>
    <w:uiPriority w:val="99"/>
    <w:rPr>
      <w:rFonts w:ascii="宋体" w:eastAsia="宋体"/>
      <w:sz w:val="18"/>
      <w:szCs w:val="18"/>
    </w:rPr>
  </w:style>
  <w:style w:type="paragraph" w:styleId="3">
    <w:name w:val="footer"/>
    <w:basedOn w:val="1"/>
    <w:link w:val="10"/>
    <w:unhideWhenUsed/>
    <w:uiPriority w:val="99"/>
    <w:pPr>
      <w:tabs>
        <w:tab w:val="center" w:pos="4153"/>
        <w:tab w:val="right" w:pos="8306"/>
      </w:tabs>
      <w:snapToGrid w:val="0"/>
      <w:jc w:val="left"/>
    </w:pPr>
    <w:rPr>
      <w:sz w:val="18"/>
      <w:szCs w:val="18"/>
    </w:rPr>
  </w:style>
  <w:style w:type="paragraph" w:styleId="4">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paragraph" w:styleId="7">
    <w:name w:val="List Paragraph"/>
    <w:basedOn w:val="1"/>
    <w:qFormat/>
    <w:uiPriority w:val="34"/>
    <w:pPr>
      <w:ind w:firstLine="420" w:firstLineChars="200"/>
    </w:pPr>
  </w:style>
  <w:style w:type="character" w:customStyle="1" w:styleId="8">
    <w:name w:val="文档结构图 Char"/>
    <w:basedOn w:val="5"/>
    <w:link w:val="2"/>
    <w:semiHidden/>
    <w:qFormat/>
    <w:uiPriority w:val="99"/>
    <w:rPr>
      <w:rFonts w:ascii="宋体" w:eastAsia="宋体"/>
      <w:sz w:val="18"/>
      <w:szCs w:val="18"/>
    </w:rPr>
  </w:style>
  <w:style w:type="character" w:customStyle="1" w:styleId="9">
    <w:name w:val="页眉 Char"/>
    <w:basedOn w:val="5"/>
    <w:link w:val="4"/>
    <w:semiHidden/>
    <w:qFormat/>
    <w:uiPriority w:val="99"/>
    <w:rPr>
      <w:sz w:val="18"/>
      <w:szCs w:val="18"/>
    </w:rPr>
  </w:style>
  <w:style w:type="character" w:customStyle="1" w:styleId="10">
    <w:name w:val="页脚 Char"/>
    <w:basedOn w:val="5"/>
    <w:link w:val="3"/>
    <w:semiHidden/>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2.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10.png"/><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398BA5E-D3FD-4257-91AC-70E37CF3D550}">
  <ds:schemaRefs/>
</ds:datastoreItem>
</file>

<file path=docProps/app.xml><?xml version="1.0" encoding="utf-8"?>
<Properties xmlns="http://schemas.openxmlformats.org/officeDocument/2006/extended-properties" xmlns:vt="http://schemas.openxmlformats.org/officeDocument/2006/docPropsVTypes">
  <Template>Normal</Template>
  <Pages>2</Pages>
  <Words>161</Words>
  <Characters>919</Characters>
  <Lines>7</Lines>
  <Paragraphs>2</Paragraphs>
  <ScaleCrop>false</ScaleCrop>
  <LinksUpToDate>false</LinksUpToDate>
  <CharactersWithSpaces>1078</CharactersWithSpaces>
  <Application>WPS Office_10.1.0.7022_F1E327BC-269C-435d-A152-05C5408002CA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2018-01-11T07:54:00Z</dcterms:created>
  <dc:creator>Leo</dc:creator>
  <cp:lastModifiedBy>金秋来了</cp:lastModifiedBy>
  <cp:lastPrinted>2018-01-12T02:40:00Z</cp:lastPrinted>
  <dcterms:modified xsi:type="dcterms:W3CDTF">2018-02-01T08:16:32Z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