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right="100"/>
        <w:jc w:val="left"/>
        <w:rPr>
          <w:rFonts w:ascii="黑体" w:hAnsi="黑体" w:eastAsia="黑体"/>
          <w:sz w:val="32"/>
          <w:szCs w:val="32"/>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jc w:val="center"/>
        <w:rPr>
          <w:rFonts w:hint="eastAsia" w:ascii="黑体" w:hAnsi="黑体" w:eastAsia="黑体"/>
          <w:sz w:val="52"/>
          <w:szCs w:val="52"/>
          <w:lang w:eastAsia="zh-CN"/>
        </w:rPr>
      </w:pPr>
      <w:r>
        <w:rPr>
          <w:rFonts w:hint="eastAsia" w:ascii="黑体" w:hAnsi="黑体" w:eastAsia="黑体"/>
          <w:sz w:val="52"/>
          <w:szCs w:val="52"/>
        </w:rPr>
        <w:t>信阳</w:t>
      </w:r>
      <w:r>
        <w:rPr>
          <w:rFonts w:hint="eastAsia" w:ascii="黑体" w:hAnsi="黑体" w:eastAsia="黑体"/>
          <w:sz w:val="52"/>
          <w:szCs w:val="52"/>
          <w:lang w:eastAsia="zh-CN"/>
        </w:rPr>
        <w:t>技师学院</w:t>
      </w:r>
    </w:p>
    <w:p>
      <w:pPr>
        <w:jc w:val="center"/>
        <w:rPr>
          <w:rFonts w:ascii="黑体" w:hAnsi="黑体" w:eastAsia="黑体"/>
          <w:sz w:val="52"/>
          <w:szCs w:val="52"/>
        </w:rPr>
      </w:pPr>
      <w:r>
        <w:rPr>
          <w:rFonts w:hint="eastAsia" w:ascii="黑体" w:hAnsi="黑体" w:eastAsia="黑体"/>
          <w:sz w:val="52"/>
          <w:szCs w:val="52"/>
          <w:lang w:eastAsia="zh-CN"/>
        </w:rPr>
        <w:t>2021</w:t>
      </w:r>
      <w:r>
        <w:rPr>
          <w:rFonts w:hint="eastAsia" w:ascii="黑体" w:hAnsi="黑体" w:eastAsia="黑体"/>
          <w:sz w:val="52"/>
          <w:szCs w:val="52"/>
        </w:rPr>
        <w:t>年度部门决算公开</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pPr>
      <w:r>
        <w:rPr>
          <w:rFonts w:hint="eastAsia" w:ascii="黑体" w:hAnsi="黑体" w:eastAsia="黑体"/>
          <w:sz w:val="32"/>
          <w:szCs w:val="32"/>
        </w:rPr>
        <w:t>2021年9月</w:t>
      </w:r>
    </w:p>
    <w:p>
      <w:pPr>
        <w:widowControl/>
        <w:jc w:val="left"/>
        <w:rPr>
          <w:rFonts w:ascii="黑体" w:hAnsi="黑体" w:eastAsia="黑体" w:cs="宋体"/>
          <w:sz w:val="36"/>
          <w:szCs w:val="36"/>
        </w:rPr>
        <w:sectPr>
          <w:pgSz w:w="11906" w:h="16838"/>
          <w:pgMar w:top="1440" w:right="1531" w:bottom="1440" w:left="1587" w:header="720" w:footer="720" w:gutter="0"/>
          <w:cols w:space="720" w:num="1"/>
          <w:docGrid w:type="lines" w:linePitch="317" w:charSpace="0"/>
        </w:sectPr>
      </w:pPr>
    </w:p>
    <w:p>
      <w:pPr>
        <w:jc w:val="center"/>
        <w:rPr>
          <w:rFonts w:ascii="黑体" w:hAnsi="黑体" w:eastAsia="黑体"/>
          <w:sz w:val="36"/>
          <w:szCs w:val="36"/>
        </w:rPr>
      </w:pPr>
      <w:r>
        <w:rPr>
          <w:rFonts w:hint="eastAsia" w:ascii="黑体" w:hAnsi="黑体" w:eastAsia="黑体"/>
          <w:sz w:val="36"/>
          <w:szCs w:val="36"/>
        </w:rPr>
        <w:t>目  录</w:t>
      </w:r>
    </w:p>
    <w:p>
      <w:pPr>
        <w:jc w:val="left"/>
        <w:rPr>
          <w:rFonts w:ascii="黑体" w:hAnsi="黑体" w:eastAsia="黑体"/>
          <w:sz w:val="32"/>
          <w:szCs w:val="32"/>
        </w:rPr>
      </w:pPr>
      <w:r>
        <w:rPr>
          <w:rFonts w:hint="eastAsia" w:ascii="黑体" w:hAnsi="黑体" w:eastAsia="黑体"/>
          <w:sz w:val="32"/>
          <w:szCs w:val="32"/>
        </w:rPr>
        <w:t>第一部分  信阳</w:t>
      </w:r>
      <w:r>
        <w:rPr>
          <w:rFonts w:hint="eastAsia" w:ascii="黑体" w:hAnsi="黑体" w:eastAsia="黑体"/>
          <w:sz w:val="32"/>
          <w:szCs w:val="32"/>
          <w:lang w:eastAsia="zh-CN"/>
        </w:rPr>
        <w:t>技师学院</w:t>
      </w:r>
      <w:r>
        <w:rPr>
          <w:rFonts w:hint="eastAsia" w:ascii="黑体" w:hAnsi="黑体" w:eastAsia="黑体"/>
          <w:sz w:val="32"/>
          <w:szCs w:val="32"/>
        </w:rPr>
        <w:t>概况</w:t>
      </w:r>
    </w:p>
    <w:p>
      <w:pPr>
        <w:numPr>
          <w:ilvl w:val="0"/>
          <w:numId w:val="1"/>
        </w:numPr>
        <w:ind w:firstLine="640" w:firstLineChars="200"/>
        <w:jc w:val="left"/>
        <w:rPr>
          <w:rFonts w:ascii="宋体" w:hAnsi="宋体"/>
          <w:sz w:val="32"/>
          <w:szCs w:val="32"/>
        </w:rPr>
      </w:pPr>
      <w:r>
        <w:rPr>
          <w:rFonts w:hint="eastAsia" w:ascii="宋体" w:hAnsi="宋体"/>
          <w:sz w:val="32"/>
          <w:szCs w:val="32"/>
        </w:rPr>
        <w:t>部门职责</w:t>
      </w:r>
    </w:p>
    <w:p>
      <w:pPr>
        <w:numPr>
          <w:ilvl w:val="0"/>
          <w:numId w:val="1"/>
        </w:numPr>
        <w:ind w:firstLine="640" w:firstLineChars="200"/>
        <w:jc w:val="left"/>
        <w:rPr>
          <w:rFonts w:ascii="宋体" w:hAnsi="宋体"/>
          <w:sz w:val="32"/>
          <w:szCs w:val="32"/>
        </w:rPr>
      </w:pPr>
      <w:r>
        <w:rPr>
          <w:rFonts w:hint="eastAsia" w:ascii="宋体" w:hAnsi="宋体"/>
          <w:sz w:val="32"/>
          <w:szCs w:val="32"/>
        </w:rPr>
        <w:t>机构设置</w:t>
      </w:r>
    </w:p>
    <w:p>
      <w:pPr>
        <w:jc w:val="left"/>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年度部门决算表（Excel表格形式）</w:t>
      </w:r>
    </w:p>
    <w:p>
      <w:pPr>
        <w:ind w:firstLine="640" w:firstLineChars="200"/>
        <w:jc w:val="left"/>
        <w:rPr>
          <w:rFonts w:ascii="宋体" w:hAnsi="宋体"/>
          <w:sz w:val="32"/>
          <w:szCs w:val="32"/>
        </w:rPr>
      </w:pPr>
      <w:r>
        <w:rPr>
          <w:rFonts w:hint="eastAsia" w:ascii="宋体" w:hAnsi="宋体"/>
          <w:sz w:val="32"/>
          <w:szCs w:val="32"/>
        </w:rPr>
        <w:t>一、收入支出决算总表</w:t>
      </w:r>
    </w:p>
    <w:p>
      <w:pPr>
        <w:ind w:firstLine="640" w:firstLineChars="200"/>
        <w:jc w:val="left"/>
        <w:rPr>
          <w:rFonts w:ascii="宋体" w:hAnsi="宋体"/>
          <w:sz w:val="32"/>
          <w:szCs w:val="32"/>
        </w:rPr>
      </w:pPr>
      <w:r>
        <w:rPr>
          <w:rFonts w:hint="eastAsia" w:ascii="宋体" w:hAnsi="宋体"/>
          <w:sz w:val="32"/>
          <w:szCs w:val="32"/>
        </w:rPr>
        <w:t>二、收入决算表</w:t>
      </w:r>
    </w:p>
    <w:p>
      <w:pPr>
        <w:ind w:firstLine="640" w:firstLineChars="200"/>
        <w:jc w:val="left"/>
        <w:rPr>
          <w:rFonts w:ascii="宋体" w:hAnsi="宋体"/>
          <w:sz w:val="32"/>
          <w:szCs w:val="32"/>
        </w:rPr>
      </w:pPr>
      <w:r>
        <w:rPr>
          <w:rFonts w:hint="eastAsia" w:ascii="宋体" w:hAnsi="宋体"/>
          <w:sz w:val="32"/>
          <w:szCs w:val="32"/>
        </w:rPr>
        <w:t>三、支出决算表</w:t>
      </w:r>
    </w:p>
    <w:p>
      <w:pPr>
        <w:ind w:firstLine="640" w:firstLineChars="200"/>
        <w:jc w:val="left"/>
        <w:rPr>
          <w:rFonts w:ascii="宋体" w:hAnsi="宋体"/>
          <w:sz w:val="32"/>
          <w:szCs w:val="32"/>
        </w:rPr>
      </w:pPr>
      <w:r>
        <w:rPr>
          <w:rFonts w:hint="eastAsia" w:ascii="宋体" w:hAnsi="宋体"/>
          <w:sz w:val="32"/>
          <w:szCs w:val="32"/>
        </w:rPr>
        <w:t>四、财政拨款收入支出决算总表</w:t>
      </w:r>
    </w:p>
    <w:p>
      <w:pPr>
        <w:ind w:firstLine="640" w:firstLineChars="200"/>
        <w:jc w:val="left"/>
        <w:rPr>
          <w:rFonts w:ascii="宋体" w:hAnsi="宋体"/>
          <w:sz w:val="32"/>
          <w:szCs w:val="32"/>
        </w:rPr>
      </w:pPr>
      <w:r>
        <w:rPr>
          <w:rFonts w:hint="eastAsia" w:ascii="宋体" w:hAnsi="宋体"/>
          <w:sz w:val="32"/>
          <w:szCs w:val="32"/>
        </w:rPr>
        <w:t>五、一般公共预算财政拨款支出决算表</w:t>
      </w:r>
    </w:p>
    <w:p>
      <w:pPr>
        <w:ind w:firstLine="640" w:firstLineChars="200"/>
        <w:jc w:val="left"/>
        <w:rPr>
          <w:rFonts w:ascii="宋体" w:hAnsi="宋体"/>
          <w:sz w:val="32"/>
          <w:szCs w:val="32"/>
        </w:rPr>
      </w:pPr>
      <w:r>
        <w:rPr>
          <w:rFonts w:hint="eastAsia" w:ascii="宋体" w:hAnsi="宋体"/>
          <w:sz w:val="32"/>
          <w:szCs w:val="32"/>
        </w:rPr>
        <w:t>六、一般公共预算财政拨款基本支出决算</w:t>
      </w:r>
      <w:r>
        <w:rPr>
          <w:rFonts w:hint="eastAsia" w:ascii="宋体" w:hAnsi="宋体"/>
          <w:sz w:val="32"/>
          <w:szCs w:val="32"/>
          <w:lang w:val="en-US" w:eastAsia="zh-CN"/>
        </w:rPr>
        <w:t>明细</w:t>
      </w:r>
      <w:r>
        <w:rPr>
          <w:rFonts w:hint="eastAsia" w:ascii="宋体" w:hAnsi="宋体"/>
          <w:sz w:val="32"/>
          <w:szCs w:val="32"/>
        </w:rPr>
        <w:t>表</w:t>
      </w:r>
    </w:p>
    <w:p>
      <w:pPr>
        <w:ind w:firstLine="640" w:firstLineChars="200"/>
        <w:jc w:val="left"/>
        <w:rPr>
          <w:rFonts w:ascii="宋体" w:hAnsi="宋体"/>
          <w:sz w:val="32"/>
          <w:szCs w:val="32"/>
        </w:rPr>
      </w:pPr>
      <w:r>
        <w:rPr>
          <w:rFonts w:hint="eastAsia" w:ascii="宋体" w:hAnsi="宋体"/>
          <w:sz w:val="32"/>
          <w:szCs w:val="32"/>
        </w:rPr>
        <w:t>七、一般公共预算财政拨款“三公”经费支出决算表</w:t>
      </w:r>
    </w:p>
    <w:p>
      <w:pPr>
        <w:ind w:firstLine="640" w:firstLineChars="200"/>
        <w:jc w:val="left"/>
        <w:rPr>
          <w:rFonts w:hint="eastAsia" w:ascii="宋体" w:hAnsi="宋体"/>
          <w:sz w:val="32"/>
          <w:szCs w:val="32"/>
          <w:lang w:val="en-US" w:eastAsia="zh-CN"/>
        </w:rPr>
      </w:pPr>
      <w:r>
        <w:rPr>
          <w:rFonts w:hint="eastAsia" w:ascii="宋体" w:hAnsi="宋体"/>
          <w:sz w:val="32"/>
          <w:szCs w:val="32"/>
        </w:rPr>
        <w:t>八、政府性基金预算财政拨款收入支出决算</w:t>
      </w:r>
      <w:r>
        <w:rPr>
          <w:rFonts w:hint="eastAsia" w:ascii="宋体" w:hAnsi="宋体"/>
          <w:sz w:val="32"/>
          <w:szCs w:val="32"/>
          <w:lang w:val="en-US" w:eastAsia="zh-CN"/>
        </w:rPr>
        <w:t>表</w:t>
      </w:r>
    </w:p>
    <w:p>
      <w:pPr>
        <w:jc w:val="left"/>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年度部门决算情况说明</w:t>
      </w:r>
    </w:p>
    <w:p>
      <w:pPr>
        <w:ind w:firstLine="640" w:firstLineChars="200"/>
        <w:jc w:val="left"/>
        <w:rPr>
          <w:rFonts w:ascii="宋体" w:hAnsi="宋体"/>
          <w:sz w:val="32"/>
          <w:szCs w:val="32"/>
        </w:rPr>
      </w:pPr>
      <w:r>
        <w:rPr>
          <w:rFonts w:hint="eastAsia" w:ascii="宋体" w:hAnsi="宋体"/>
          <w:sz w:val="32"/>
          <w:szCs w:val="32"/>
        </w:rPr>
        <w:t>一、收入支出决算总体情况说明</w:t>
      </w:r>
    </w:p>
    <w:p>
      <w:pPr>
        <w:ind w:firstLine="640" w:firstLineChars="200"/>
        <w:jc w:val="left"/>
        <w:rPr>
          <w:rFonts w:ascii="宋体" w:hAnsi="宋体"/>
          <w:sz w:val="32"/>
          <w:szCs w:val="32"/>
        </w:rPr>
      </w:pPr>
      <w:r>
        <w:rPr>
          <w:rFonts w:hint="eastAsia" w:ascii="宋体" w:hAnsi="宋体"/>
          <w:sz w:val="32"/>
          <w:szCs w:val="32"/>
        </w:rPr>
        <w:t>二、收入决算情况说明</w:t>
      </w:r>
    </w:p>
    <w:p>
      <w:pPr>
        <w:ind w:firstLine="640" w:firstLineChars="200"/>
        <w:jc w:val="left"/>
        <w:rPr>
          <w:rFonts w:ascii="宋体" w:hAnsi="宋体"/>
          <w:sz w:val="32"/>
          <w:szCs w:val="32"/>
        </w:rPr>
      </w:pPr>
      <w:r>
        <w:rPr>
          <w:rFonts w:hint="eastAsia" w:ascii="宋体" w:hAnsi="宋体"/>
          <w:sz w:val="32"/>
          <w:szCs w:val="32"/>
        </w:rPr>
        <w:t>三、支出决算情况说明</w:t>
      </w:r>
    </w:p>
    <w:p>
      <w:pPr>
        <w:ind w:firstLine="640" w:firstLineChars="200"/>
        <w:jc w:val="left"/>
        <w:rPr>
          <w:rFonts w:ascii="宋体" w:hAnsi="宋体"/>
          <w:sz w:val="32"/>
          <w:szCs w:val="32"/>
        </w:rPr>
      </w:pPr>
      <w:r>
        <w:rPr>
          <w:rFonts w:hint="eastAsia" w:ascii="宋体" w:hAnsi="宋体"/>
          <w:sz w:val="32"/>
          <w:szCs w:val="32"/>
        </w:rPr>
        <w:t>四、财政拨款收入支出决算总体情况说明</w:t>
      </w:r>
    </w:p>
    <w:p>
      <w:pPr>
        <w:ind w:firstLine="640" w:firstLineChars="200"/>
        <w:jc w:val="left"/>
        <w:rPr>
          <w:rFonts w:ascii="宋体" w:hAnsi="宋体"/>
          <w:sz w:val="32"/>
          <w:szCs w:val="32"/>
        </w:rPr>
      </w:pPr>
      <w:r>
        <w:rPr>
          <w:rFonts w:hint="eastAsia" w:ascii="宋体" w:hAnsi="宋体"/>
          <w:sz w:val="32"/>
          <w:szCs w:val="32"/>
        </w:rPr>
        <w:t>五、一般公共预算财政拨款支出决算情况说明</w:t>
      </w:r>
    </w:p>
    <w:p>
      <w:pPr>
        <w:ind w:firstLine="640" w:firstLineChars="200"/>
        <w:jc w:val="left"/>
        <w:rPr>
          <w:rFonts w:ascii="宋体" w:hAnsi="宋体"/>
          <w:sz w:val="32"/>
          <w:szCs w:val="32"/>
        </w:rPr>
      </w:pPr>
      <w:r>
        <w:rPr>
          <w:rFonts w:hint="eastAsia" w:ascii="宋体" w:hAnsi="宋体"/>
          <w:sz w:val="32"/>
          <w:szCs w:val="32"/>
        </w:rPr>
        <w:t>六、一般公共预算财政拨款基本支出决算情况说明</w:t>
      </w:r>
    </w:p>
    <w:p>
      <w:pPr>
        <w:ind w:firstLine="640" w:firstLineChars="200"/>
        <w:jc w:val="left"/>
        <w:rPr>
          <w:rFonts w:ascii="宋体" w:hAnsi="宋体"/>
          <w:sz w:val="32"/>
          <w:szCs w:val="32"/>
        </w:rPr>
      </w:pPr>
      <w:r>
        <w:rPr>
          <w:rFonts w:hint="eastAsia" w:ascii="宋体" w:hAnsi="宋体"/>
          <w:sz w:val="32"/>
          <w:szCs w:val="32"/>
        </w:rPr>
        <w:t>七、一般公共预算财政拨款“三公”经费支出决算情况说明</w:t>
      </w:r>
    </w:p>
    <w:p>
      <w:pPr>
        <w:ind w:firstLine="640" w:firstLineChars="200"/>
        <w:jc w:val="left"/>
        <w:rPr>
          <w:rFonts w:hint="eastAsia" w:ascii="宋体" w:hAnsi="宋体"/>
          <w:sz w:val="32"/>
          <w:szCs w:val="32"/>
        </w:rPr>
      </w:pPr>
      <w:r>
        <w:rPr>
          <w:rFonts w:hint="eastAsia" w:ascii="宋体" w:hAnsi="宋体"/>
          <w:sz w:val="32"/>
          <w:szCs w:val="32"/>
        </w:rPr>
        <w:t>八、政府性基金预算财政拨款支出决算情况说明</w:t>
      </w:r>
    </w:p>
    <w:p>
      <w:pPr>
        <w:ind w:firstLine="640" w:firstLineChars="200"/>
        <w:jc w:val="left"/>
        <w:rPr>
          <w:rFonts w:hint="eastAsia" w:ascii="宋体" w:hAnsi="宋体"/>
          <w:sz w:val="32"/>
          <w:szCs w:val="32"/>
        </w:rPr>
      </w:pPr>
      <w:r>
        <w:rPr>
          <w:rFonts w:hint="eastAsia" w:ascii="宋体" w:hAnsi="宋体"/>
          <w:sz w:val="32"/>
          <w:szCs w:val="32"/>
        </w:rPr>
        <w:t>九、机关运行经费支出情况说明</w:t>
      </w:r>
    </w:p>
    <w:p>
      <w:pPr>
        <w:ind w:firstLine="640" w:firstLineChars="200"/>
        <w:jc w:val="left"/>
        <w:rPr>
          <w:rFonts w:ascii="宋体" w:hAnsi="宋体"/>
          <w:sz w:val="32"/>
          <w:szCs w:val="32"/>
        </w:rPr>
      </w:pPr>
      <w:r>
        <w:rPr>
          <w:rFonts w:hint="eastAsia" w:ascii="宋体" w:hAnsi="宋体"/>
          <w:sz w:val="32"/>
          <w:szCs w:val="32"/>
        </w:rPr>
        <w:t>十、政府采购支出情况说明</w:t>
      </w:r>
    </w:p>
    <w:p>
      <w:pPr>
        <w:ind w:firstLine="640" w:firstLineChars="200"/>
        <w:jc w:val="left"/>
        <w:rPr>
          <w:rFonts w:hint="eastAsia" w:ascii="宋体" w:hAnsi="宋体"/>
          <w:sz w:val="32"/>
          <w:szCs w:val="32"/>
        </w:rPr>
      </w:pPr>
      <w:r>
        <w:rPr>
          <w:rFonts w:hint="eastAsia" w:ascii="宋体" w:hAnsi="宋体"/>
          <w:sz w:val="32"/>
          <w:szCs w:val="32"/>
        </w:rPr>
        <w:t>十一、国有资产占用情况说明</w:t>
      </w:r>
    </w:p>
    <w:p>
      <w:pPr>
        <w:ind w:firstLine="640" w:firstLineChars="200"/>
        <w:jc w:val="left"/>
        <w:rPr>
          <w:rFonts w:hint="eastAsia" w:ascii="宋体" w:hAnsi="宋体"/>
          <w:sz w:val="32"/>
          <w:szCs w:val="32"/>
        </w:rPr>
      </w:pPr>
      <w:r>
        <w:rPr>
          <w:rFonts w:hint="eastAsia" w:ascii="宋体" w:hAnsi="宋体"/>
          <w:sz w:val="32"/>
          <w:szCs w:val="32"/>
        </w:rPr>
        <w:t>十二、预算绩效情况说明</w:t>
      </w:r>
    </w:p>
    <w:p>
      <w:pPr>
        <w:jc w:val="left"/>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部分  名词解释</w:t>
      </w:r>
    </w:p>
    <w:p>
      <w:pPr>
        <w:ind w:firstLine="640" w:firstLineChars="200"/>
        <w:jc w:val="left"/>
        <w:rPr>
          <w:rFonts w:hint="eastAsia" w:ascii="宋体" w:hAnsi="宋体"/>
          <w:sz w:val="32"/>
          <w:szCs w:val="32"/>
          <w:lang w:val="en-US" w:eastAsia="zh-CN"/>
        </w:rPr>
      </w:pPr>
    </w:p>
    <w:p>
      <w:pPr>
        <w:ind w:firstLine="640" w:firstLineChars="200"/>
        <w:jc w:val="left"/>
        <w:rPr>
          <w:rFonts w:hint="eastAsia" w:ascii="宋体" w:hAnsi="宋体"/>
          <w:sz w:val="32"/>
          <w:szCs w:val="32"/>
          <w:lang w:val="en-US" w:eastAsia="zh-CN"/>
        </w:rPr>
      </w:pPr>
    </w:p>
    <w:p>
      <w:pPr>
        <w:ind w:firstLine="640" w:firstLineChars="200"/>
        <w:jc w:val="left"/>
        <w:rPr>
          <w:rFonts w:hint="eastAsia" w:ascii="宋体" w:hAnsi="宋体"/>
          <w:sz w:val="32"/>
          <w:szCs w:val="32"/>
          <w:lang w:val="en-US" w:eastAsia="zh-CN"/>
        </w:rPr>
        <w:sectPr>
          <w:pgSz w:w="11906" w:h="16838"/>
          <w:pgMar w:top="1440" w:right="1531" w:bottom="1440" w:left="1587" w:header="720" w:footer="720" w:gutter="0"/>
          <w:cols w:space="720" w:num="1"/>
          <w:docGrid w:type="lines" w:linePitch="317" w:charSpace="0"/>
        </w:sect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center"/>
        <w:rPr>
          <w:rFonts w:ascii="黑体" w:hAnsi="宋体" w:eastAsia="黑体" w:cs="宋体"/>
          <w:color w:val="000000"/>
          <w:kern w:val="0"/>
          <w:sz w:val="28"/>
          <w:szCs w:val="28"/>
        </w:rPr>
      </w:pPr>
      <w:r>
        <w:rPr>
          <w:rFonts w:hint="eastAsia" w:ascii="黑体" w:hAnsi="黑体" w:eastAsia="黑体"/>
          <w:sz w:val="48"/>
          <w:szCs w:val="48"/>
        </w:rPr>
        <w:t>第一部分  信阳</w:t>
      </w:r>
      <w:r>
        <w:rPr>
          <w:rFonts w:hint="eastAsia" w:ascii="黑体" w:hAnsi="黑体" w:eastAsia="黑体"/>
          <w:sz w:val="48"/>
          <w:szCs w:val="48"/>
          <w:lang w:eastAsia="zh-CN"/>
        </w:rPr>
        <w:t>技师学院</w:t>
      </w:r>
      <w:r>
        <w:rPr>
          <w:rFonts w:hint="eastAsia" w:ascii="黑体" w:hAnsi="黑体" w:eastAsia="黑体"/>
          <w:sz w:val="48"/>
          <w:szCs w:val="48"/>
        </w:rPr>
        <w:t>概况</w:t>
      </w:r>
    </w:p>
    <w:p>
      <w:pPr>
        <w:widowControl/>
        <w:jc w:val="left"/>
        <w:rPr>
          <w:rFonts w:ascii="黑体" w:hAnsi="宋体" w:eastAsia="黑体" w:cs="宋体"/>
          <w:color w:val="000000"/>
          <w:kern w:val="0"/>
          <w:sz w:val="28"/>
          <w:szCs w:val="28"/>
        </w:rPr>
      </w:pPr>
    </w:p>
    <w:p>
      <w:pPr>
        <w:widowControl/>
        <w:jc w:val="left"/>
        <w:rPr>
          <w:rFonts w:ascii="黑体" w:hAnsi="黑体" w:eastAsia="黑体" w:cs="宋体"/>
          <w:kern w:val="0"/>
          <w:sz w:val="32"/>
          <w:szCs w:val="32"/>
        </w:rPr>
        <w:sectPr>
          <w:pgSz w:w="11906" w:h="16838"/>
          <w:pgMar w:top="1440" w:right="1800" w:bottom="1440" w:left="1800" w:header="720" w:footer="720" w:gutter="0"/>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sz w:val="32"/>
          <w:szCs w:val="32"/>
        </w:rPr>
      </w:pPr>
      <w:r>
        <w:rPr>
          <w:rFonts w:hint="eastAsia" w:ascii="黑体" w:hAnsi="黑体" w:eastAsia="黑体"/>
          <w:kern w:val="0"/>
          <w:sz w:val="32"/>
          <w:szCs w:val="32"/>
        </w:rPr>
        <w:t>部门</w:t>
      </w:r>
      <w:r>
        <w:rPr>
          <w:rFonts w:hint="eastAsia" w:ascii="黑体" w:hAnsi="黑体" w:eastAsia="黑体"/>
          <w:sz w:val="32"/>
          <w:szCs w:val="32"/>
        </w:rPr>
        <w:t>职责</w:t>
      </w:r>
    </w:p>
    <w:p>
      <w:pPr>
        <w:rPr>
          <w:rFonts w:hint="eastAsia" w:asciiTheme="minorEastAsia" w:hAnsiTheme="minorEastAsia"/>
          <w:sz w:val="28"/>
          <w:szCs w:val="28"/>
        </w:rPr>
      </w:pPr>
      <w:r>
        <w:rPr>
          <w:rFonts w:hint="eastAsia" w:ascii="黑体" w:hAnsi="黑体" w:eastAsia="黑体"/>
          <w:sz w:val="32"/>
          <w:szCs w:val="32"/>
          <w:lang w:val="en-US" w:eastAsia="zh-CN"/>
        </w:rPr>
        <w:t xml:space="preserve">  </w:t>
      </w:r>
      <w:r>
        <w:rPr>
          <w:rFonts w:hint="eastAsia" w:asciiTheme="minorEastAsia" w:hAnsiTheme="minorEastAsia"/>
          <w:sz w:val="28"/>
          <w:szCs w:val="28"/>
        </w:rPr>
        <w:t>（一）、全面贯彻执行党的教育方针和《职业教育法》，通过学制教育，主要培养高级工、技师（预备技师）以上技能人才。</w:t>
      </w:r>
    </w:p>
    <w:p>
      <w:pPr>
        <w:rPr>
          <w:rFonts w:hint="eastAsia" w:asciiTheme="minorEastAsia" w:hAnsiTheme="minorEastAsia"/>
          <w:sz w:val="28"/>
          <w:szCs w:val="28"/>
        </w:rPr>
      </w:pPr>
      <w:r>
        <w:rPr>
          <w:rFonts w:hint="eastAsia" w:asciiTheme="minorEastAsia" w:hAnsiTheme="minorEastAsia"/>
          <w:sz w:val="28"/>
          <w:szCs w:val="28"/>
        </w:rPr>
        <w:t xml:space="preserve"> （二）、面向社会承担各类职业技能培训工作，提高社会劳动者的职业素养和技术技能水平，促进高质量就业。</w:t>
      </w:r>
    </w:p>
    <w:p>
      <w:pPr>
        <w:rPr>
          <w:rFonts w:hint="eastAsia" w:asciiTheme="minorEastAsia" w:hAnsiTheme="minorEastAsia"/>
          <w:sz w:val="28"/>
          <w:szCs w:val="28"/>
        </w:rPr>
      </w:pPr>
      <w:r>
        <w:rPr>
          <w:rFonts w:hint="eastAsia" w:asciiTheme="minorEastAsia" w:hAnsiTheme="minorEastAsia"/>
          <w:sz w:val="28"/>
          <w:szCs w:val="28"/>
        </w:rPr>
        <w:t xml:space="preserve"> （三）、开展深度校企融合发展，为企业提供高层次技能人才和智力支撑，服务信阳经济社会建设。</w:t>
      </w:r>
    </w:p>
    <w:p>
      <w:pPr>
        <w:rPr>
          <w:rFonts w:hint="eastAsia" w:asciiTheme="minorEastAsia" w:hAnsiTheme="minorEastAsia"/>
          <w:sz w:val="28"/>
          <w:szCs w:val="28"/>
        </w:rPr>
      </w:pPr>
      <w:r>
        <w:rPr>
          <w:rFonts w:hint="eastAsia" w:asciiTheme="minorEastAsia" w:hAnsiTheme="minorEastAsia"/>
          <w:sz w:val="28"/>
          <w:szCs w:val="28"/>
        </w:rPr>
        <w:t xml:space="preserve"> （四）、面向社会承担社会化职业技能鉴定工作。</w:t>
      </w:r>
    </w:p>
    <w:p>
      <w:pPr>
        <w:widowControl/>
        <w:numPr>
          <w:ilvl w:val="0"/>
          <w:numId w:val="0"/>
        </w:numPr>
        <w:jc w:val="left"/>
        <w:outlineLvl w:val="1"/>
        <w:rPr>
          <w:rFonts w:hint="default" w:ascii="黑体" w:hAnsi="黑体" w:eastAsia="黑体"/>
          <w:sz w:val="32"/>
          <w:szCs w:val="32"/>
          <w:lang w:val="en-US" w:eastAsia="zh-CN"/>
        </w:rPr>
      </w:pPr>
    </w:p>
    <w:p>
      <w:pPr>
        <w:widowControl/>
        <w:ind w:firstLine="640" w:firstLineChars="200"/>
        <w:jc w:val="left"/>
        <w:outlineLvl w:val="1"/>
        <w:rPr>
          <w:rFonts w:ascii="黑体" w:hAnsi="黑体" w:eastAsia="黑体"/>
          <w:kern w:val="0"/>
          <w:sz w:val="32"/>
          <w:szCs w:val="32"/>
        </w:rPr>
      </w:pPr>
      <w:r>
        <w:rPr>
          <w:rFonts w:hint="eastAsia" w:ascii="黑体" w:hAnsi="黑体" w:eastAsia="黑体"/>
          <w:kern w:val="0"/>
          <w:sz w:val="32"/>
          <w:szCs w:val="32"/>
        </w:rPr>
        <w:t>二、机构设置</w:t>
      </w:r>
    </w:p>
    <w:p>
      <w:pPr>
        <w:spacing w:line="560" w:lineRule="exact"/>
        <w:ind w:firstLine="480" w:firstLineChars="150"/>
        <w:rPr>
          <w:rFonts w:asciiTheme="minorEastAsia" w:hAnsiTheme="minorEastAsia" w:eastAsiaTheme="minorEastAsia"/>
          <w:color w:val="000000"/>
          <w:sz w:val="32"/>
          <w:szCs w:val="32"/>
        </w:rPr>
      </w:pPr>
      <w:r>
        <w:rPr>
          <w:rFonts w:hint="eastAsia" w:asciiTheme="minorEastAsia" w:hAnsiTheme="minorEastAsia" w:eastAsiaTheme="minorEastAsia"/>
          <w:sz w:val="32"/>
          <w:szCs w:val="32"/>
        </w:rPr>
        <w:t>信阳</w:t>
      </w:r>
      <w:r>
        <w:rPr>
          <w:rFonts w:hint="eastAsia" w:asciiTheme="minorEastAsia" w:hAnsiTheme="minorEastAsia" w:eastAsiaTheme="minorEastAsia"/>
          <w:sz w:val="32"/>
          <w:szCs w:val="32"/>
          <w:lang w:eastAsia="zh-CN"/>
        </w:rPr>
        <w:t>技师学院</w:t>
      </w:r>
      <w:r>
        <w:rPr>
          <w:rFonts w:hint="eastAsia" w:asciiTheme="minorEastAsia" w:hAnsiTheme="minorEastAsia" w:eastAsiaTheme="minorEastAsia"/>
          <w:sz w:val="32"/>
          <w:szCs w:val="32"/>
        </w:rPr>
        <w:t>内设10个机构，包括：</w:t>
      </w:r>
      <w:r>
        <w:rPr>
          <w:rFonts w:hint="eastAsia" w:cs="宋体" w:asciiTheme="minorEastAsia" w:hAnsiTheme="minorEastAsia" w:eastAsiaTheme="minorEastAsia"/>
          <w:kern w:val="0"/>
          <w:sz w:val="32"/>
          <w:szCs w:val="32"/>
        </w:rPr>
        <w:t>办公室、人事科、财务科、总务科、保卫科、教务科、实习教学科、学生科、招生与就业办公室、技能培训、鉴定部。另设有团委和工会群团机构。</w:t>
      </w:r>
    </w:p>
    <w:p>
      <w:pPr>
        <w:ind w:firstLine="480" w:firstLineChars="150"/>
        <w:rPr>
          <w:rFonts w:hint="eastAsia" w:asciiTheme="minorEastAsia" w:hAnsiTheme="minorEastAsia" w:eastAsiaTheme="minorEastAsia"/>
          <w:color w:val="000000"/>
          <w:kern w:val="0"/>
          <w:sz w:val="32"/>
          <w:szCs w:val="32"/>
          <w:lang w:val="en-US" w:eastAsia="zh-CN"/>
        </w:rPr>
      </w:pPr>
      <w:r>
        <w:rPr>
          <w:rFonts w:hint="eastAsia" w:asciiTheme="minorEastAsia" w:hAnsiTheme="minorEastAsia" w:eastAsiaTheme="minorEastAsia"/>
          <w:color w:val="000000"/>
          <w:kern w:val="0"/>
          <w:sz w:val="32"/>
          <w:szCs w:val="32"/>
        </w:rPr>
        <w:t>从决算单位构成看，信阳</w:t>
      </w:r>
      <w:r>
        <w:rPr>
          <w:rFonts w:hint="eastAsia" w:asciiTheme="minorEastAsia" w:hAnsiTheme="minorEastAsia" w:eastAsiaTheme="minorEastAsia"/>
          <w:color w:val="000000"/>
          <w:kern w:val="0"/>
          <w:sz w:val="32"/>
          <w:szCs w:val="32"/>
          <w:lang w:eastAsia="zh-CN"/>
        </w:rPr>
        <w:t>技师学院</w:t>
      </w:r>
      <w:r>
        <w:rPr>
          <w:rFonts w:hint="eastAsia" w:asciiTheme="minorEastAsia" w:hAnsiTheme="minorEastAsia" w:eastAsiaTheme="minorEastAsia"/>
          <w:color w:val="000000"/>
          <w:kern w:val="0"/>
          <w:sz w:val="32"/>
          <w:szCs w:val="32"/>
        </w:rPr>
        <w:t>部门决算只有本级决算,</w:t>
      </w:r>
      <w:r>
        <w:rPr>
          <w:rFonts w:hint="eastAsia" w:asciiTheme="minorEastAsia" w:hAnsiTheme="minorEastAsia" w:eastAsiaTheme="minorEastAsia"/>
          <w:color w:val="000000"/>
          <w:kern w:val="0"/>
          <w:sz w:val="32"/>
          <w:szCs w:val="32"/>
          <w:lang w:val="en-US" w:eastAsia="zh-CN"/>
        </w:rPr>
        <w:t>所属二级机构0个，具体为：</w:t>
      </w:r>
    </w:p>
    <w:p>
      <w:pPr>
        <w:ind w:firstLine="480" w:firstLineChars="150"/>
        <w:rPr>
          <w:rFonts w:ascii="黑体" w:hAnsi="黑体" w:eastAsia="黑体"/>
          <w:sz w:val="32"/>
          <w:szCs w:val="32"/>
        </w:rPr>
      </w:pPr>
      <w:r>
        <w:rPr>
          <w:rFonts w:hint="eastAsia" w:asciiTheme="minorEastAsia" w:hAnsiTheme="minorEastAsia" w:eastAsiaTheme="minorEastAsia"/>
          <w:color w:val="000000"/>
          <w:kern w:val="0"/>
          <w:sz w:val="32"/>
          <w:szCs w:val="32"/>
          <w:lang w:val="en-US" w:eastAsia="zh-CN"/>
        </w:rPr>
        <w:t>1.</w:t>
      </w:r>
      <w:r>
        <w:rPr>
          <w:rFonts w:hint="eastAsia" w:asciiTheme="minorEastAsia" w:hAnsiTheme="minorEastAsia" w:eastAsiaTheme="minorEastAsia"/>
          <w:sz w:val="32"/>
          <w:szCs w:val="32"/>
        </w:rPr>
        <w:t>信阳</w:t>
      </w:r>
      <w:r>
        <w:rPr>
          <w:rFonts w:hint="eastAsia" w:asciiTheme="minorEastAsia" w:hAnsiTheme="minorEastAsia" w:eastAsiaTheme="minorEastAsia"/>
          <w:sz w:val="32"/>
          <w:szCs w:val="32"/>
          <w:lang w:eastAsia="zh-CN"/>
        </w:rPr>
        <w:t>技师学院</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ascii="黑体" w:hAnsi="黑体" w:eastAsia="黑体" w:cs="黑体"/>
          <w:sz w:val="44"/>
          <w:szCs w:val="44"/>
        </w:rPr>
      </w:pPr>
      <w:r>
        <w:rPr>
          <w:rFonts w:hint="eastAsia" w:ascii="黑体" w:hAnsi="黑体" w:eastAsia="黑体" w:cs="黑体"/>
          <w:sz w:val="44"/>
          <w:szCs w:val="44"/>
        </w:rPr>
        <w:t>第</w:t>
      </w:r>
      <w:r>
        <w:rPr>
          <w:rFonts w:hint="eastAsia" w:ascii="黑体" w:hAnsi="黑体" w:eastAsia="黑体" w:cs="黑体"/>
          <w:sz w:val="44"/>
          <w:szCs w:val="44"/>
          <w:lang w:val="en-US" w:eastAsia="zh-CN"/>
        </w:rPr>
        <w:t>二</w:t>
      </w:r>
      <w:r>
        <w:rPr>
          <w:rFonts w:hint="eastAsia" w:ascii="黑体" w:hAnsi="黑体" w:eastAsia="黑体" w:cs="黑体"/>
          <w:sz w:val="44"/>
          <w:szCs w:val="44"/>
        </w:rPr>
        <w:t>部分</w:t>
      </w:r>
    </w:p>
    <w:p>
      <w:pPr>
        <w:jc w:val="center"/>
        <w:rPr>
          <w:rFonts w:ascii="黑体" w:hAnsi="黑体" w:eastAsia="黑体" w:cs="黑体"/>
          <w:sz w:val="48"/>
          <w:szCs w:val="48"/>
        </w:rPr>
      </w:pPr>
      <w:r>
        <w:rPr>
          <w:rFonts w:hint="eastAsia" w:ascii="黑体" w:hAnsi="黑体" w:eastAsia="黑体" w:cs="黑体"/>
          <w:sz w:val="44"/>
          <w:szCs w:val="44"/>
          <w:lang w:eastAsia="zh-CN"/>
        </w:rPr>
        <w:t>技师学院2021</w:t>
      </w:r>
      <w:r>
        <w:rPr>
          <w:rFonts w:hint="eastAsia" w:ascii="黑体" w:hAnsi="黑体" w:eastAsia="黑体" w:cs="黑体"/>
          <w:sz w:val="44"/>
          <w:szCs w:val="44"/>
        </w:rPr>
        <w:t>年度部门决算公开表</w:t>
      </w:r>
    </w:p>
    <w:p>
      <w:pPr>
        <w:rPr>
          <w:rFonts w:ascii="黑体" w:eastAsia="黑体"/>
          <w:color w:val="000000"/>
          <w:sz w:val="28"/>
          <w:szCs w:val="28"/>
        </w:rPr>
      </w:pPr>
    </w:p>
    <w:p>
      <w:pPr>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sectPr>
          <w:pgSz w:w="11906" w:h="16838"/>
          <w:pgMar w:top="1440" w:right="1800" w:bottom="1440" w:left="1800" w:header="851" w:footer="992" w:gutter="0"/>
          <w:cols w:space="425" w:num="1"/>
          <w:docGrid w:type="lines" w:linePitch="312" w:charSpace="0"/>
        </w:sectPr>
      </w:pPr>
    </w:p>
    <w:p>
      <w:pPr>
        <w:rPr>
          <w:rFonts w:ascii="仿宋_GB2312" w:hAnsi="仿宋_GB2312" w:eastAsia="仿宋_GB2312" w:cs="仿宋_GB2312"/>
          <w:sz w:val="32"/>
          <w:szCs w:val="32"/>
        </w:rPr>
      </w:pPr>
    </w:p>
    <w:tbl>
      <w:tblPr>
        <w:tblStyle w:val="5"/>
        <w:tblW w:w="5000" w:type="pct"/>
        <w:tblInd w:w="0" w:type="dxa"/>
        <w:tblLayout w:type="autofit"/>
        <w:tblCellMar>
          <w:top w:w="0" w:type="dxa"/>
          <w:left w:w="108" w:type="dxa"/>
          <w:bottom w:w="0" w:type="dxa"/>
          <w:right w:w="108" w:type="dxa"/>
        </w:tblCellMar>
      </w:tblPr>
      <w:tblGrid>
        <w:gridCol w:w="94"/>
        <w:gridCol w:w="484"/>
        <w:gridCol w:w="580"/>
        <w:gridCol w:w="651"/>
        <w:gridCol w:w="1337"/>
        <w:gridCol w:w="595"/>
        <w:gridCol w:w="1167"/>
        <w:gridCol w:w="1098"/>
        <w:gridCol w:w="1352"/>
        <w:gridCol w:w="469"/>
        <w:gridCol w:w="572"/>
        <w:gridCol w:w="928"/>
        <w:gridCol w:w="1190"/>
        <w:gridCol w:w="964"/>
        <w:gridCol w:w="409"/>
        <w:gridCol w:w="572"/>
        <w:gridCol w:w="966"/>
        <w:gridCol w:w="746"/>
      </w:tblGrid>
      <w:tr>
        <w:tblPrEx>
          <w:tblCellMar>
            <w:top w:w="0" w:type="dxa"/>
            <w:left w:w="108" w:type="dxa"/>
            <w:bottom w:w="0" w:type="dxa"/>
            <w:right w:w="108" w:type="dxa"/>
          </w:tblCellMar>
        </w:tblPrEx>
        <w:trPr>
          <w:trHeight w:val="300" w:hRule="atLeast"/>
        </w:trPr>
        <w:tc>
          <w:tcPr>
            <w:tcW w:w="5000" w:type="pct"/>
            <w:gridSpan w:val="18"/>
            <w:tcBorders>
              <w:top w:val="nil"/>
              <w:left w:val="nil"/>
              <w:bottom w:val="nil"/>
              <w:right w:val="single" w:color="808080" w:sz="4" w:space="0"/>
            </w:tcBorders>
            <w:shd w:val="clear" w:color="auto" w:fill="auto"/>
            <w:noWrap/>
            <w:vAlign w:val="center"/>
          </w:tcPr>
          <w:p>
            <w:pPr>
              <w:widowControl/>
              <w:jc w:val="center"/>
              <w:textAlignment w:val="center"/>
              <w:rPr>
                <w:rFonts w:ascii="宋体" w:hAnsi="宋体" w:cs="宋体"/>
                <w:color w:val="000000"/>
                <w:kern w:val="0"/>
                <w:sz w:val="24"/>
                <w:szCs w:val="24"/>
              </w:rPr>
            </w:pPr>
            <w:r>
              <w:rPr>
                <w:rFonts w:hint="eastAsia" w:ascii="黑体" w:hAnsi="宋体" w:eastAsia="黑体" w:cs="黑体"/>
                <w:color w:val="000000"/>
                <w:kern w:val="0"/>
                <w:sz w:val="28"/>
                <w:szCs w:val="28"/>
              </w:rPr>
              <w:t>收入支出决算总表</w:t>
            </w:r>
          </w:p>
        </w:tc>
      </w:tr>
      <w:tr>
        <w:tblPrEx>
          <w:tblCellMar>
            <w:top w:w="0" w:type="dxa"/>
            <w:left w:w="108" w:type="dxa"/>
            <w:bottom w:w="0" w:type="dxa"/>
            <w:right w:w="108" w:type="dxa"/>
          </w:tblCellMar>
        </w:tblPrEx>
        <w:trPr>
          <w:trHeight w:val="300" w:hRule="atLeast"/>
        </w:trPr>
        <w:tc>
          <w:tcPr>
            <w:tcW w:w="1115" w:type="pct"/>
            <w:gridSpan w:val="5"/>
            <w:tcBorders>
              <w:top w:val="nil"/>
              <w:left w:val="nil"/>
              <w:bottom w:val="nil"/>
              <w:right w:val="nil"/>
            </w:tcBorders>
            <w:shd w:val="clear" w:color="auto" w:fill="auto"/>
            <w:noWrap/>
            <w:vAlign w:val="center"/>
          </w:tcPr>
          <w:p>
            <w:pPr>
              <w:jc w:val="left"/>
              <w:rPr>
                <w:rFonts w:ascii="Tahoma" w:hAnsi="Tahoma" w:eastAsia="Tahoma" w:cs="Tahoma"/>
                <w:color w:val="000000"/>
                <w:sz w:val="16"/>
                <w:szCs w:val="16"/>
              </w:rPr>
            </w:pPr>
          </w:p>
        </w:tc>
        <w:tc>
          <w:tcPr>
            <w:tcW w:w="20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33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1050" w:type="pct"/>
            <w:gridSpan w:val="3"/>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20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33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920" w:type="pct"/>
            <w:gridSpan w:val="3"/>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20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622" w:type="pct"/>
            <w:gridSpan w:val="2"/>
            <w:tcBorders>
              <w:top w:val="nil"/>
              <w:left w:val="nil"/>
              <w:bottom w:val="nil"/>
              <w:right w:val="single" w:color="808080" w:sz="4" w:space="0"/>
            </w:tcBorders>
            <w:shd w:val="clear" w:color="auto" w:fill="auto"/>
            <w:noWrap/>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0"/>
                <w:szCs w:val="20"/>
              </w:rPr>
              <w:t>公开</w:t>
            </w:r>
            <w:r>
              <w:rPr>
                <w:rFonts w:hint="eastAsia" w:ascii="宋体" w:hAnsi="宋体" w:cs="宋体"/>
                <w:color w:val="000000"/>
                <w:kern w:val="0"/>
                <w:sz w:val="24"/>
                <w:szCs w:val="24"/>
              </w:rPr>
              <w:t>01表</w:t>
            </w:r>
          </w:p>
        </w:tc>
      </w:tr>
      <w:tr>
        <w:tblPrEx>
          <w:tblCellMar>
            <w:top w:w="0" w:type="dxa"/>
            <w:left w:w="108" w:type="dxa"/>
            <w:bottom w:w="0" w:type="dxa"/>
            <w:right w:w="108" w:type="dxa"/>
          </w:tblCellMar>
        </w:tblPrEx>
        <w:trPr>
          <w:trHeight w:val="300" w:hRule="atLeast"/>
        </w:trPr>
        <w:tc>
          <w:tcPr>
            <w:tcW w:w="1115" w:type="pct"/>
            <w:gridSpan w:val="5"/>
            <w:tcBorders>
              <w:top w:val="nil"/>
              <w:left w:val="nil"/>
              <w:bottom w:val="single" w:color="808080" w:sz="4" w:space="0"/>
              <w:right w:val="nil"/>
            </w:tcBorders>
            <w:shd w:val="clear" w:color="auto" w:fill="auto"/>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编制单位：信阳技师学院</w:t>
            </w:r>
          </w:p>
        </w:tc>
        <w:tc>
          <w:tcPr>
            <w:tcW w:w="206"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336"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1050" w:type="pct"/>
            <w:gridSpan w:val="3"/>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2021年度</w:t>
            </w:r>
          </w:p>
        </w:tc>
        <w:tc>
          <w:tcPr>
            <w:tcW w:w="206"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336"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920" w:type="pct"/>
            <w:gridSpan w:val="3"/>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828" w:type="pct"/>
            <w:gridSpan w:val="3"/>
            <w:tcBorders>
              <w:top w:val="nil"/>
              <w:left w:val="nil"/>
              <w:bottom w:val="single" w:color="808080" w:sz="4" w:space="0"/>
              <w:right w:val="single" w:color="808080" w:sz="4" w:space="0"/>
            </w:tcBorders>
            <w:shd w:val="clear" w:color="auto" w:fill="auto"/>
            <w:noWrap/>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金额单位：万元</w:t>
            </w:r>
          </w:p>
        </w:tc>
      </w:tr>
      <w:tr>
        <w:tblPrEx>
          <w:tblCellMar>
            <w:top w:w="0" w:type="dxa"/>
            <w:left w:w="108" w:type="dxa"/>
            <w:bottom w:w="0" w:type="dxa"/>
            <w:right w:w="108" w:type="dxa"/>
          </w:tblCellMar>
        </w:tblPrEx>
        <w:trPr>
          <w:trHeight w:val="300" w:hRule="atLeast"/>
        </w:trPr>
        <w:tc>
          <w:tcPr>
            <w:tcW w:w="1657" w:type="pct"/>
            <w:gridSpan w:val="7"/>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3342" w:type="pct"/>
            <w:gridSpan w:val="11"/>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项目(按功能分类)</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项目(按支出性质和经济分类)</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06" w:type="pct"/>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06" w:type="pct"/>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06" w:type="pct"/>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一、基本支出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人员经费</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59</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1,832.84</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三、国有资本经营预算财政拨款收入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公用经费</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232.17</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四、上级补助收入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二、项目支出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61</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五、事业收入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1,825.15</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其中：基本建设类项目</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62</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六、经营收入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三、上缴上级支出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63</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七、附属单位上缴收入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七、文化旅游体育与传媒支出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64</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八、其他收入</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117.78</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五、对附属单位补助支出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65</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九、卫生健康支出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920" w:type="pct"/>
            <w:gridSpan w:val="3"/>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67</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经济分类支出合计</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一、工资福利支出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69</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1,770.24</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二、商品和服务支出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70</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232.17</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十四、资源勘探工业信息等支出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三、对个人和家庭的补助</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62.60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四、债务利息及费用支出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72</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五、资本性支出（基本建设）</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73</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六、资本性支出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74</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十八、自然资源海洋气象等支出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七、对企业补助（基本建设）</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75</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八、对企业补助</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76</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九、对社会保障基金补助</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77</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二十一、国有资本经营预算支出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十、其他支出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78</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二十二、灾害防治及应急管理支出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79</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二十三、其他支出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二十四、债务还本支出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81</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二十五、债务付息支出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82</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050" w:type="pct"/>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二十六、抗疫特别国债安排的支出</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20" w:type="pct"/>
            <w:gridSpan w:val="3"/>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本年收入合计</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2513" w:type="pct"/>
            <w:gridSpan w:val="8"/>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本年支出合计</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84</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使用非财政拨款结余</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513" w:type="pct"/>
            <w:gridSpan w:val="8"/>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结余分配</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85</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年初结转和结余</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266.30</w:t>
            </w:r>
          </w:p>
        </w:tc>
        <w:tc>
          <w:tcPr>
            <w:tcW w:w="2513" w:type="pct"/>
            <w:gridSpan w:val="8"/>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年末结转和结余</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86</w:t>
            </w:r>
          </w:p>
        </w:tc>
        <w:tc>
          <w:tcPr>
            <w:tcW w:w="622" w:type="pct"/>
            <w:gridSpan w:val="2"/>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266.30</w:t>
            </w: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2513" w:type="pct"/>
            <w:gridSpan w:val="8"/>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20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87</w:t>
            </w:r>
          </w:p>
        </w:tc>
        <w:tc>
          <w:tcPr>
            <w:tcW w:w="622" w:type="pct"/>
            <w:gridSpan w:val="2"/>
            <w:tcBorders>
              <w:top w:val="nil"/>
              <w:left w:val="nil"/>
              <w:bottom w:val="single" w:color="000000" w:sz="4" w:space="0"/>
              <w:right w:val="single" w:color="000000" w:sz="12" w:space="0"/>
            </w:tcBorders>
            <w:shd w:val="clear" w:color="auto" w:fill="auto"/>
            <w:noWrap/>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15" w:type="pct"/>
            <w:gridSpan w:val="5"/>
            <w:tcBorders>
              <w:top w:val="nil"/>
              <w:left w:val="single" w:color="000000" w:sz="12" w:space="0"/>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206" w:type="pct"/>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336" w:type="pct"/>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2,331.32</w:t>
            </w:r>
          </w:p>
        </w:tc>
        <w:tc>
          <w:tcPr>
            <w:tcW w:w="2513" w:type="pct"/>
            <w:gridSpan w:val="8"/>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206" w:type="pct"/>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88</w:t>
            </w:r>
          </w:p>
        </w:tc>
        <w:tc>
          <w:tcPr>
            <w:tcW w:w="622" w:type="pct"/>
            <w:gridSpan w:val="2"/>
            <w:tcBorders>
              <w:top w:val="nil"/>
              <w:left w:val="nil"/>
              <w:bottom w:val="single" w:color="000000" w:sz="12"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2,331.32</w:t>
            </w:r>
          </w:p>
        </w:tc>
      </w:tr>
      <w:tr>
        <w:tblPrEx>
          <w:tblCellMar>
            <w:top w:w="0" w:type="dxa"/>
            <w:left w:w="108" w:type="dxa"/>
            <w:bottom w:w="0" w:type="dxa"/>
            <w:right w:w="108" w:type="dxa"/>
          </w:tblCellMar>
        </w:tblPrEx>
        <w:trPr>
          <w:trHeight w:val="90" w:hRule="atLeast"/>
        </w:trPr>
        <w:tc>
          <w:tcPr>
            <w:tcW w:w="5000" w:type="pct"/>
            <w:gridSpan w:val="18"/>
            <w:tcBorders>
              <w:top w:val="nil"/>
              <w:left w:val="nil"/>
              <w:bottom w:val="nil"/>
              <w:right w:val="single" w:color="808080" w:sz="4" w:space="0"/>
            </w:tcBorders>
            <w:shd w:val="clear" w:color="auto" w:fill="auto"/>
            <w:noWrap/>
            <w:vAlign w:val="center"/>
          </w:tcPr>
          <w:tbl>
            <w:tblPr>
              <w:tblStyle w:val="5"/>
              <w:tblW w:w="5000" w:type="pct"/>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autofit"/>
              <w:tblCellMar>
                <w:top w:w="0" w:type="dxa"/>
                <w:left w:w="0" w:type="dxa"/>
                <w:bottom w:w="0" w:type="dxa"/>
                <w:right w:w="0" w:type="dxa"/>
              </w:tblCellMar>
            </w:tblPr>
            <w:tblGrid>
              <w:gridCol w:w="13858"/>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15" w:hRule="atLeast"/>
              </w:trPr>
              <w:tc>
                <w:tcPr>
                  <w:tcW w:w="4948" w:type="pct"/>
                  <w:tcBorders>
                    <w:top w:val="single" w:color="000000" w:sz="8"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jc w:val="center"/>
              <w:rPr>
                <w:rFonts w:ascii="黑体" w:hAnsi="宋体" w:eastAsia="黑体" w:cs="黑体"/>
                <w:color w:val="000000"/>
                <w:kern w:val="0"/>
                <w:sz w:val="36"/>
                <w:szCs w:val="36"/>
              </w:rPr>
            </w:pPr>
          </w:p>
          <w:p>
            <w:pPr>
              <w:jc w:val="center"/>
              <w:rPr>
                <w:rFonts w:ascii="黑体" w:hAnsi="宋体" w:eastAsia="黑体" w:cs="黑体"/>
                <w:color w:val="000000"/>
                <w:kern w:val="0"/>
                <w:sz w:val="36"/>
                <w:szCs w:val="36"/>
              </w:rPr>
            </w:pPr>
          </w:p>
          <w:p>
            <w:pPr>
              <w:jc w:val="center"/>
              <w:rPr>
                <w:rFonts w:ascii="宋体" w:hAnsi="宋体" w:cs="宋体"/>
                <w:color w:val="000000"/>
                <w:sz w:val="18"/>
                <w:szCs w:val="18"/>
              </w:rPr>
            </w:pPr>
            <w:r>
              <w:rPr>
                <w:rFonts w:hint="eastAsia" w:ascii="黑体" w:hAnsi="宋体" w:eastAsia="黑体" w:cs="黑体"/>
                <w:color w:val="000000"/>
                <w:kern w:val="0"/>
                <w:sz w:val="36"/>
                <w:szCs w:val="36"/>
              </w:rPr>
              <w:t>收入决算表</w:t>
            </w:r>
          </w:p>
        </w:tc>
      </w:tr>
      <w:tr>
        <w:tblPrEx>
          <w:tblCellMar>
            <w:top w:w="0" w:type="dxa"/>
            <w:left w:w="108" w:type="dxa"/>
            <w:bottom w:w="0" w:type="dxa"/>
            <w:right w:w="108" w:type="dxa"/>
          </w:tblCellMar>
        </w:tblPrEx>
        <w:trPr>
          <w:trHeight w:val="176" w:hRule="atLeast"/>
        </w:trPr>
        <w:tc>
          <w:tcPr>
            <w:tcW w:w="637" w:type="pct"/>
            <w:gridSpan w:val="4"/>
            <w:tcBorders>
              <w:top w:val="nil"/>
              <w:left w:val="nil"/>
              <w:bottom w:val="nil"/>
              <w:right w:val="nil"/>
            </w:tcBorders>
            <w:shd w:val="clear" w:color="auto" w:fill="auto"/>
            <w:noWrap/>
            <w:vAlign w:val="center"/>
          </w:tcPr>
          <w:p>
            <w:pPr>
              <w:jc w:val="center"/>
              <w:rPr>
                <w:rFonts w:ascii="宋体" w:hAnsi="宋体" w:cs="宋体"/>
                <w:color w:val="000000"/>
                <w:sz w:val="18"/>
                <w:szCs w:val="18"/>
              </w:rPr>
            </w:pPr>
          </w:p>
        </w:tc>
        <w:tc>
          <w:tcPr>
            <w:tcW w:w="1096" w:type="pct"/>
            <w:gridSpan w:val="3"/>
            <w:tcBorders>
              <w:top w:val="nil"/>
              <w:left w:val="nil"/>
              <w:bottom w:val="nil"/>
              <w:right w:val="nil"/>
            </w:tcBorders>
            <w:shd w:val="clear" w:color="auto" w:fill="auto"/>
            <w:noWrap/>
            <w:vAlign w:val="center"/>
          </w:tcPr>
          <w:p>
            <w:pPr>
              <w:jc w:val="center"/>
              <w:rPr>
                <w:rFonts w:ascii="宋体" w:hAnsi="宋体" w:cs="宋体"/>
                <w:color w:val="000000"/>
                <w:sz w:val="18"/>
                <w:szCs w:val="18"/>
              </w:rPr>
            </w:pPr>
          </w:p>
        </w:tc>
        <w:tc>
          <w:tcPr>
            <w:tcW w:w="1691" w:type="pct"/>
            <w:gridSpan w:val="5"/>
            <w:tcBorders>
              <w:top w:val="nil"/>
              <w:left w:val="nil"/>
              <w:bottom w:val="nil"/>
              <w:right w:val="nil"/>
            </w:tcBorders>
            <w:shd w:val="clear" w:color="auto" w:fill="auto"/>
            <w:noWrap/>
            <w:vAlign w:val="center"/>
          </w:tcPr>
          <w:p>
            <w:pPr>
              <w:jc w:val="center"/>
              <w:rPr>
                <w:rFonts w:ascii="宋体" w:hAnsi="宋体" w:cs="宋体"/>
                <w:color w:val="000000"/>
                <w:sz w:val="18"/>
                <w:szCs w:val="18"/>
              </w:rPr>
            </w:pPr>
          </w:p>
        </w:tc>
        <w:tc>
          <w:tcPr>
            <w:tcW w:w="428" w:type="pct"/>
            <w:tcBorders>
              <w:top w:val="nil"/>
              <w:left w:val="nil"/>
              <w:bottom w:val="nil"/>
              <w:right w:val="nil"/>
            </w:tcBorders>
            <w:shd w:val="clear" w:color="auto" w:fill="auto"/>
            <w:noWrap/>
            <w:vAlign w:val="center"/>
          </w:tcPr>
          <w:p>
            <w:pPr>
              <w:jc w:val="center"/>
              <w:rPr>
                <w:rFonts w:ascii="宋体" w:hAnsi="宋体" w:cs="宋体"/>
                <w:color w:val="000000"/>
                <w:sz w:val="18"/>
                <w:szCs w:val="18"/>
              </w:rPr>
            </w:pPr>
          </w:p>
        </w:tc>
        <w:tc>
          <w:tcPr>
            <w:tcW w:w="1146" w:type="pct"/>
            <w:gridSpan w:val="5"/>
            <w:tcBorders>
              <w:top w:val="nil"/>
              <w:left w:val="nil"/>
              <w:bottom w:val="nil"/>
              <w:right w:val="single" w:color="80808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0"/>
                <w:szCs w:val="20"/>
              </w:rPr>
              <w:t>公开</w:t>
            </w:r>
            <w:r>
              <w:rPr>
                <w:rFonts w:hint="eastAsia" w:ascii="宋体" w:hAnsi="宋体" w:cs="宋体"/>
                <w:color w:val="000000"/>
                <w:kern w:val="0"/>
                <w:sz w:val="24"/>
                <w:szCs w:val="24"/>
              </w:rPr>
              <w:t>02表</w:t>
            </w:r>
          </w:p>
        </w:tc>
      </w:tr>
      <w:tr>
        <w:tblPrEx>
          <w:tblCellMar>
            <w:top w:w="0" w:type="dxa"/>
            <w:left w:w="108" w:type="dxa"/>
            <w:bottom w:w="0" w:type="dxa"/>
            <w:right w:w="108" w:type="dxa"/>
          </w:tblCellMar>
        </w:tblPrEx>
        <w:trPr>
          <w:trHeight w:val="530" w:hRule="atLeast"/>
        </w:trPr>
        <w:tc>
          <w:tcPr>
            <w:tcW w:w="1733" w:type="pct"/>
            <w:gridSpan w:val="7"/>
            <w:tcBorders>
              <w:top w:val="nil"/>
              <w:left w:val="nil"/>
              <w:bottom w:val="single" w:color="808080" w:sz="4" w:space="0"/>
              <w:right w:val="nil"/>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kern w:val="0"/>
                <w:sz w:val="24"/>
                <w:szCs w:val="24"/>
              </w:rPr>
              <w:t>编制单位：信阳技师学院</w:t>
            </w:r>
          </w:p>
        </w:tc>
        <w:tc>
          <w:tcPr>
            <w:tcW w:w="1315" w:type="pct"/>
            <w:gridSpan w:val="4"/>
            <w:tcBorders>
              <w:top w:val="nil"/>
              <w:left w:val="nil"/>
              <w:bottom w:val="single" w:color="808080" w:sz="4" w:space="0"/>
              <w:right w:val="nil"/>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kern w:val="0"/>
                <w:sz w:val="24"/>
                <w:szCs w:val="24"/>
              </w:rPr>
              <w:t>2021年度</w:t>
            </w:r>
          </w:p>
        </w:tc>
        <w:tc>
          <w:tcPr>
            <w:tcW w:w="375" w:type="pct"/>
            <w:tcBorders>
              <w:top w:val="nil"/>
              <w:left w:val="nil"/>
              <w:bottom w:val="single" w:color="808080" w:sz="4" w:space="0"/>
              <w:right w:val="nil"/>
            </w:tcBorders>
            <w:shd w:val="clear" w:color="auto" w:fill="auto"/>
            <w:noWrap/>
            <w:vAlign w:val="center"/>
          </w:tcPr>
          <w:p>
            <w:pPr>
              <w:jc w:val="center"/>
              <w:rPr>
                <w:rFonts w:ascii="宋体" w:hAnsi="宋体" w:cs="宋体"/>
                <w:color w:val="000000"/>
                <w:sz w:val="18"/>
                <w:szCs w:val="18"/>
              </w:rPr>
            </w:pPr>
          </w:p>
        </w:tc>
        <w:tc>
          <w:tcPr>
            <w:tcW w:w="428" w:type="pct"/>
            <w:tcBorders>
              <w:top w:val="nil"/>
              <w:left w:val="nil"/>
              <w:bottom w:val="single" w:color="808080" w:sz="4" w:space="0"/>
              <w:right w:val="nil"/>
            </w:tcBorders>
            <w:shd w:val="clear" w:color="auto" w:fill="auto"/>
            <w:noWrap/>
            <w:vAlign w:val="center"/>
          </w:tcPr>
          <w:p>
            <w:pPr>
              <w:jc w:val="center"/>
              <w:rPr>
                <w:rFonts w:ascii="宋体" w:hAnsi="宋体" w:cs="宋体"/>
                <w:color w:val="000000"/>
                <w:sz w:val="18"/>
                <w:szCs w:val="18"/>
              </w:rPr>
            </w:pPr>
          </w:p>
        </w:tc>
        <w:tc>
          <w:tcPr>
            <w:tcW w:w="345" w:type="pct"/>
            <w:tcBorders>
              <w:top w:val="nil"/>
              <w:left w:val="nil"/>
              <w:bottom w:val="single" w:color="808080" w:sz="4" w:space="0"/>
              <w:right w:val="nil"/>
            </w:tcBorders>
            <w:shd w:val="clear" w:color="auto" w:fill="auto"/>
            <w:noWrap/>
            <w:vAlign w:val="center"/>
          </w:tcPr>
          <w:p>
            <w:pPr>
              <w:jc w:val="center"/>
              <w:rPr>
                <w:rFonts w:ascii="宋体" w:hAnsi="宋体" w:cs="宋体"/>
                <w:color w:val="000000"/>
                <w:sz w:val="18"/>
                <w:szCs w:val="18"/>
              </w:rPr>
            </w:pPr>
          </w:p>
        </w:tc>
        <w:tc>
          <w:tcPr>
            <w:tcW w:w="433" w:type="pct"/>
            <w:gridSpan w:val="2"/>
            <w:tcBorders>
              <w:top w:val="nil"/>
              <w:left w:val="nil"/>
              <w:bottom w:val="single" w:color="808080" w:sz="4" w:space="0"/>
              <w:right w:val="nil"/>
            </w:tcBorders>
            <w:shd w:val="clear" w:color="auto" w:fill="auto"/>
            <w:noWrap/>
            <w:vAlign w:val="center"/>
          </w:tcPr>
          <w:p>
            <w:pPr>
              <w:jc w:val="center"/>
              <w:rPr>
                <w:rFonts w:ascii="宋体" w:hAnsi="宋体" w:cs="宋体"/>
                <w:color w:val="000000"/>
                <w:sz w:val="18"/>
                <w:szCs w:val="18"/>
              </w:rPr>
            </w:pPr>
          </w:p>
        </w:tc>
        <w:tc>
          <w:tcPr>
            <w:tcW w:w="367" w:type="pct"/>
            <w:gridSpan w:val="2"/>
            <w:tcBorders>
              <w:top w:val="nil"/>
              <w:left w:val="nil"/>
              <w:bottom w:val="single" w:color="808080" w:sz="4" w:space="0"/>
              <w:right w:val="single" w:color="80808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金额单位：万元</w:t>
            </w:r>
          </w:p>
        </w:tc>
      </w:tr>
      <w:tr>
        <w:tblPrEx>
          <w:tblCellMar>
            <w:top w:w="0" w:type="dxa"/>
            <w:left w:w="108" w:type="dxa"/>
            <w:bottom w:w="0" w:type="dxa"/>
            <w:right w:w="108" w:type="dxa"/>
          </w:tblCellMar>
        </w:tblPrEx>
        <w:trPr>
          <w:trHeight w:val="300" w:hRule="atLeast"/>
        </w:trPr>
        <w:tc>
          <w:tcPr>
            <w:tcW w:w="1733" w:type="pct"/>
            <w:gridSpan w:val="7"/>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94"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487"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433"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803" w:type="pct"/>
            <w:gridSpan w:val="2"/>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345"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433"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367"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108" w:type="dxa"/>
            <w:bottom w:w="0" w:type="dxa"/>
            <w:right w:w="108" w:type="dxa"/>
          </w:tblCellMar>
        </w:tblPrEx>
        <w:trPr>
          <w:trHeight w:val="312" w:hRule="atLeast"/>
        </w:trPr>
        <w:tc>
          <w:tcPr>
            <w:tcW w:w="637" w:type="pct"/>
            <w:gridSpan w:val="4"/>
            <w:vMerge w:val="restart"/>
            <w:tcBorders>
              <w:top w:val="nil"/>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支出功能分类科目编码</w:t>
            </w:r>
          </w:p>
        </w:tc>
        <w:tc>
          <w:tcPr>
            <w:tcW w:w="1096" w:type="pct"/>
            <w:gridSpan w:val="3"/>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9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75"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42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其中：教育收费</w:t>
            </w:r>
          </w:p>
        </w:tc>
        <w:tc>
          <w:tcPr>
            <w:tcW w:w="34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67"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637" w:type="pct"/>
            <w:gridSpan w:val="4"/>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96" w:type="pct"/>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9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7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2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4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67"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637" w:type="pct"/>
            <w:gridSpan w:val="4"/>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96" w:type="pct"/>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9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7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2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4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67"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203" w:type="pct"/>
            <w:gridSpan w:val="2"/>
            <w:vMerge w:val="restart"/>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类</w:t>
            </w:r>
          </w:p>
        </w:tc>
        <w:tc>
          <w:tcPr>
            <w:tcW w:w="204"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款</w:t>
            </w:r>
          </w:p>
        </w:tc>
        <w:tc>
          <w:tcPr>
            <w:tcW w:w="229"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94"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87"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433" w:type="pct"/>
            <w:gridSpan w:val="2"/>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428"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45"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433" w:type="pct"/>
            <w:gridSpan w:val="2"/>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367" w:type="pct"/>
            <w:gridSpan w:val="2"/>
            <w:tcBorders>
              <w:top w:val="nil"/>
              <w:left w:val="nil"/>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r>
      <w:tr>
        <w:tblPrEx>
          <w:tblCellMar>
            <w:top w:w="0" w:type="dxa"/>
            <w:left w:w="108" w:type="dxa"/>
            <w:bottom w:w="0" w:type="dxa"/>
            <w:right w:w="108" w:type="dxa"/>
          </w:tblCellMar>
        </w:tblPrEx>
        <w:trPr>
          <w:trHeight w:val="300" w:hRule="atLeast"/>
        </w:trPr>
        <w:tc>
          <w:tcPr>
            <w:tcW w:w="203" w:type="pct"/>
            <w:gridSpan w:val="2"/>
            <w:vMerge w:val="continue"/>
            <w:tcBorders>
              <w:top w:val="nil"/>
              <w:left w:val="single" w:color="000000" w:sz="12"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04"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29"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205</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教育支出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1,820.41</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1,820.41</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20503</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职业教育</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1,820.41</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1,820.41</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2050302</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中等职业教育</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167.10</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167.10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2050303</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技校教育</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1,653.31</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1,653.31</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208</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122.52</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122.52</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20805</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行政事业单位养老支出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97.67</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97.67</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机关事业单位基本养老保险缴费支出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97.67</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97.67</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20808</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抚恤</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15.69</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15.69</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死亡抚恤</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15.69</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15.69</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20899</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其他社会保障和就业支出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9.16</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9.16</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2089999</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其他社会保障和就业支出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9.16</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9.16</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210</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21011</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事业单位医疗</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221</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住房保障支出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22102</w:t>
            </w:r>
          </w:p>
        </w:tc>
        <w:tc>
          <w:tcPr>
            <w:tcW w:w="1096"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住房改革支出</w:t>
            </w:r>
          </w:p>
        </w:tc>
        <w:tc>
          <w:tcPr>
            <w:tcW w:w="39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48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2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433" w:type="pct"/>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67" w:type="pct"/>
            <w:gridSpan w:val="2"/>
            <w:tcBorders>
              <w:top w:val="nil"/>
              <w:left w:val="nil"/>
              <w:bottom w:val="single" w:color="000000" w:sz="4" w:space="0"/>
              <w:right w:val="single" w:color="000000" w:sz="12"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637" w:type="pct"/>
            <w:gridSpan w:val="4"/>
            <w:tcBorders>
              <w:top w:val="nil"/>
              <w:left w:val="single" w:color="000000" w:sz="12" w:space="0"/>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2210201</w:t>
            </w:r>
          </w:p>
        </w:tc>
        <w:tc>
          <w:tcPr>
            <w:tcW w:w="1096" w:type="pct"/>
            <w:gridSpan w:val="3"/>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住房公积金</w:t>
            </w:r>
          </w:p>
        </w:tc>
        <w:tc>
          <w:tcPr>
            <w:tcW w:w="394" w:type="pct"/>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487" w:type="pct"/>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433" w:type="pct"/>
            <w:gridSpan w:val="2"/>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75" w:type="pct"/>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8" w:type="pct"/>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45" w:type="pct"/>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33" w:type="pct"/>
            <w:gridSpan w:val="2"/>
            <w:tcBorders>
              <w:top w:val="nil"/>
              <w:left w:val="nil"/>
              <w:bottom w:val="single" w:color="000000" w:sz="12"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67" w:type="pct"/>
            <w:gridSpan w:val="2"/>
            <w:tcBorders>
              <w:top w:val="nil"/>
              <w:left w:val="nil"/>
              <w:bottom w:val="single" w:color="000000" w:sz="12" w:space="0"/>
              <w:right w:val="single" w:color="000000" w:sz="12"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33" w:type="pct"/>
          <w:wAfter w:w="17" w:type="pct"/>
          <w:trHeight w:val="615" w:hRule="atLeast"/>
        </w:trPr>
        <w:tc>
          <w:tcPr>
            <w:tcW w:w="4948" w:type="pct"/>
            <w:gridSpan w:val="16"/>
            <w:tcBorders>
              <w:top w:val="single" w:color="000000" w:sz="8"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2856"/>
        <w:gridCol w:w="416"/>
        <w:gridCol w:w="416"/>
        <w:gridCol w:w="3616"/>
        <w:gridCol w:w="1236"/>
        <w:gridCol w:w="1026"/>
        <w:gridCol w:w="901"/>
        <w:gridCol w:w="901"/>
        <w:gridCol w:w="901"/>
        <w:gridCol w:w="1905"/>
      </w:tblGrid>
      <w:tr>
        <w:tblPrEx>
          <w:tblCellMar>
            <w:top w:w="0" w:type="dxa"/>
            <w:left w:w="108" w:type="dxa"/>
            <w:bottom w:w="0" w:type="dxa"/>
            <w:right w:w="108" w:type="dxa"/>
          </w:tblCellMar>
        </w:tblPrEx>
        <w:trPr>
          <w:trHeight w:val="555" w:hRule="atLeast"/>
        </w:trPr>
        <w:tc>
          <w:tcPr>
            <w:tcW w:w="5000" w:type="pct"/>
            <w:gridSpan w:val="10"/>
            <w:tcBorders>
              <w:top w:val="nil"/>
              <w:left w:val="nil"/>
              <w:bottom w:val="nil"/>
              <w:right w:val="single" w:color="808080" w:sz="4" w:space="0"/>
            </w:tcBorders>
            <w:shd w:val="clear" w:color="auto" w:fill="auto"/>
            <w:noWrap/>
            <w:vAlign w:val="center"/>
          </w:tcPr>
          <w:p>
            <w:pPr>
              <w:jc w:val="center"/>
              <w:rPr>
                <w:rFonts w:ascii="宋体" w:hAnsi="宋体" w:cs="宋体"/>
                <w:color w:val="000000"/>
                <w:sz w:val="18"/>
                <w:szCs w:val="18"/>
              </w:rPr>
            </w:pPr>
            <w:r>
              <w:rPr>
                <w:rFonts w:hint="eastAsia" w:ascii="黑体" w:hAnsi="宋体" w:eastAsia="黑体" w:cs="黑体"/>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1007" w:type="pct"/>
            <w:tcBorders>
              <w:top w:val="nil"/>
              <w:left w:val="nil"/>
              <w:bottom w:val="nil"/>
              <w:right w:val="nil"/>
            </w:tcBorders>
            <w:shd w:val="clear" w:color="auto" w:fill="auto"/>
            <w:noWrap/>
            <w:vAlign w:val="center"/>
          </w:tcPr>
          <w:p>
            <w:pPr>
              <w:jc w:val="left"/>
              <w:rPr>
                <w:rFonts w:ascii="Tahoma" w:hAnsi="Tahoma" w:eastAsia="Tahoma" w:cs="Tahoma"/>
                <w:color w:val="000000"/>
                <w:sz w:val="16"/>
                <w:szCs w:val="16"/>
              </w:rPr>
            </w:pPr>
          </w:p>
        </w:tc>
        <w:tc>
          <w:tcPr>
            <w:tcW w:w="14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14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1275"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436"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362"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318"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318"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318" w:type="pct"/>
            <w:tcBorders>
              <w:top w:val="nil"/>
              <w:left w:val="nil"/>
              <w:bottom w:val="nil"/>
              <w:right w:val="nil"/>
            </w:tcBorders>
            <w:shd w:val="clear" w:color="auto" w:fill="auto"/>
            <w:noWrap/>
            <w:vAlign w:val="center"/>
          </w:tcPr>
          <w:p>
            <w:pPr>
              <w:jc w:val="left"/>
              <w:rPr>
                <w:rFonts w:ascii="宋体" w:hAnsi="宋体" w:cs="宋体"/>
                <w:color w:val="000000"/>
                <w:sz w:val="18"/>
                <w:szCs w:val="18"/>
              </w:rPr>
            </w:pPr>
          </w:p>
        </w:tc>
        <w:tc>
          <w:tcPr>
            <w:tcW w:w="668" w:type="pct"/>
            <w:tcBorders>
              <w:top w:val="nil"/>
              <w:left w:val="nil"/>
              <w:bottom w:val="nil"/>
              <w:right w:val="single" w:color="808080" w:sz="4" w:space="0"/>
            </w:tcBorders>
            <w:shd w:val="clear" w:color="auto" w:fill="auto"/>
            <w:noWrap/>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0"/>
                <w:szCs w:val="20"/>
              </w:rPr>
              <w:t>公开</w:t>
            </w:r>
            <w:r>
              <w:rPr>
                <w:rFonts w:hint="eastAsia" w:ascii="宋体" w:hAnsi="宋体" w:cs="宋体"/>
                <w:color w:val="000000"/>
                <w:kern w:val="0"/>
                <w:sz w:val="24"/>
                <w:szCs w:val="24"/>
              </w:rPr>
              <w:t>03表</w:t>
            </w:r>
          </w:p>
        </w:tc>
      </w:tr>
      <w:tr>
        <w:tblPrEx>
          <w:tblCellMar>
            <w:top w:w="0" w:type="dxa"/>
            <w:left w:w="108" w:type="dxa"/>
            <w:bottom w:w="0" w:type="dxa"/>
            <w:right w:w="108" w:type="dxa"/>
          </w:tblCellMar>
        </w:tblPrEx>
        <w:trPr>
          <w:trHeight w:val="300" w:hRule="atLeast"/>
        </w:trPr>
        <w:tc>
          <w:tcPr>
            <w:tcW w:w="1007" w:type="pct"/>
            <w:tcBorders>
              <w:top w:val="nil"/>
              <w:left w:val="nil"/>
              <w:bottom w:val="single" w:color="808080" w:sz="4" w:space="0"/>
              <w:right w:val="nil"/>
            </w:tcBorders>
            <w:shd w:val="clear" w:color="auto" w:fill="auto"/>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编制单位：信阳技师学院</w:t>
            </w:r>
          </w:p>
        </w:tc>
        <w:tc>
          <w:tcPr>
            <w:tcW w:w="146"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146"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1275"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436" w:type="pct"/>
            <w:tcBorders>
              <w:top w:val="nil"/>
              <w:left w:val="nil"/>
              <w:bottom w:val="single" w:color="808080" w:sz="4" w:space="0"/>
              <w:right w:val="nil"/>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2021年度</w:t>
            </w:r>
          </w:p>
        </w:tc>
        <w:tc>
          <w:tcPr>
            <w:tcW w:w="362"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318"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318"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318" w:type="pct"/>
            <w:tcBorders>
              <w:top w:val="nil"/>
              <w:left w:val="nil"/>
              <w:bottom w:val="single" w:color="808080" w:sz="4" w:space="0"/>
              <w:right w:val="nil"/>
            </w:tcBorders>
            <w:shd w:val="clear" w:color="auto" w:fill="auto"/>
            <w:noWrap/>
            <w:vAlign w:val="center"/>
          </w:tcPr>
          <w:p>
            <w:pPr>
              <w:jc w:val="left"/>
              <w:rPr>
                <w:rFonts w:ascii="宋体" w:hAnsi="宋体" w:cs="宋体"/>
                <w:color w:val="000000"/>
                <w:sz w:val="18"/>
                <w:szCs w:val="18"/>
              </w:rPr>
            </w:pPr>
          </w:p>
        </w:tc>
        <w:tc>
          <w:tcPr>
            <w:tcW w:w="668" w:type="pct"/>
            <w:tcBorders>
              <w:top w:val="nil"/>
              <w:left w:val="nil"/>
              <w:bottom w:val="single" w:color="808080" w:sz="4" w:space="0"/>
              <w:right w:val="single" w:color="808080" w:sz="4" w:space="0"/>
            </w:tcBorders>
            <w:shd w:val="clear" w:color="auto" w:fill="auto"/>
            <w:noWrap/>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金额单位：万元</w:t>
            </w:r>
          </w:p>
        </w:tc>
      </w:tr>
      <w:tr>
        <w:tblPrEx>
          <w:tblCellMar>
            <w:top w:w="0" w:type="dxa"/>
            <w:left w:w="108" w:type="dxa"/>
            <w:bottom w:w="0" w:type="dxa"/>
            <w:right w:w="108" w:type="dxa"/>
          </w:tblCellMar>
        </w:tblPrEx>
        <w:trPr>
          <w:trHeight w:val="300" w:hRule="atLeast"/>
        </w:trPr>
        <w:tc>
          <w:tcPr>
            <w:tcW w:w="2576" w:type="pct"/>
            <w:gridSpan w:val="4"/>
            <w:tcBorders>
              <w:top w:val="nil"/>
              <w:left w:val="single" w:color="000000" w:sz="12"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3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36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1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31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31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66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108" w:type="dxa"/>
            <w:bottom w:w="0" w:type="dxa"/>
            <w:right w:w="108" w:type="dxa"/>
          </w:tblCellMar>
        </w:tblPrEx>
        <w:trPr>
          <w:trHeight w:val="312" w:hRule="atLeast"/>
        </w:trPr>
        <w:tc>
          <w:tcPr>
            <w:tcW w:w="1300" w:type="pct"/>
            <w:gridSpan w:val="3"/>
            <w:vMerge w:val="restart"/>
            <w:tcBorders>
              <w:top w:val="nil"/>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支出功能分类科目编码</w:t>
            </w:r>
          </w:p>
        </w:tc>
        <w:tc>
          <w:tcPr>
            <w:tcW w:w="1275"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43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6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1300" w:type="pct"/>
            <w:gridSpan w:val="3"/>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5"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6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1300" w:type="pct"/>
            <w:gridSpan w:val="3"/>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5"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6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007" w:type="pct"/>
            <w:vMerge w:val="restart"/>
            <w:tcBorders>
              <w:top w:val="nil"/>
              <w:left w:val="single" w:color="000000" w:sz="12"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类</w:t>
            </w:r>
          </w:p>
        </w:tc>
        <w:tc>
          <w:tcPr>
            <w:tcW w:w="146"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款</w:t>
            </w:r>
          </w:p>
        </w:tc>
        <w:tc>
          <w:tcPr>
            <w:tcW w:w="146"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1275" w:type="pct"/>
            <w:tcBorders>
              <w:top w:val="nil"/>
              <w:left w:val="nil"/>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6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18"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18"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18"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668" w:type="pct"/>
            <w:tcBorders>
              <w:top w:val="nil"/>
              <w:left w:val="nil"/>
              <w:bottom w:val="single" w:color="000000" w:sz="4"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300" w:hRule="atLeast"/>
        </w:trPr>
        <w:tc>
          <w:tcPr>
            <w:tcW w:w="1007" w:type="pct"/>
            <w:vMerge w:val="continue"/>
            <w:tcBorders>
              <w:top w:val="nil"/>
              <w:left w:val="single" w:color="000000" w:sz="12"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46"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46"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2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205</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教育支出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1,825.15</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1,825.15</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20503</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职业教育</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1,825.15</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1,825.15</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2050302</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中等职业教育</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78.05</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78.05</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2050303</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技校教育</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1,667.10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1,667.10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2050399</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其他职业教育支出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80.00</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117.78</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117.78</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20805</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行政事业单位养老支出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97.67</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97.67</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97.67</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97.67</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20808</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抚恤</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10.96</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10.96</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10.96</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10.96</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20899</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其他社会保障和就业支出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9.16</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9.16</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2089999</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其他社会保障和就业支出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9.16</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9.16</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210</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21011</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221</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住房保障支出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22102</w:t>
            </w:r>
          </w:p>
        </w:tc>
        <w:tc>
          <w:tcPr>
            <w:tcW w:w="127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住房改革支出</w:t>
            </w:r>
          </w:p>
        </w:tc>
        <w:tc>
          <w:tcPr>
            <w:tcW w:w="43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3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31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668" w:type="pct"/>
            <w:tcBorders>
              <w:top w:val="nil"/>
              <w:left w:val="nil"/>
              <w:bottom w:val="single" w:color="000000" w:sz="4" w:space="0"/>
              <w:right w:val="single" w:color="000000" w:sz="12"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300" w:type="pct"/>
            <w:gridSpan w:val="3"/>
            <w:tcBorders>
              <w:top w:val="nil"/>
              <w:left w:val="single" w:color="000000" w:sz="12" w:space="0"/>
              <w:bottom w:val="single" w:color="000000" w:sz="12"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2210201</w:t>
            </w:r>
          </w:p>
        </w:tc>
        <w:tc>
          <w:tcPr>
            <w:tcW w:w="1275" w:type="pct"/>
            <w:tcBorders>
              <w:top w:val="nil"/>
              <w:left w:val="nil"/>
              <w:bottom w:val="single" w:color="000000" w:sz="12"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436" w:type="pct"/>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362" w:type="pct"/>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318" w:type="pct"/>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318" w:type="pct"/>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668" w:type="pct"/>
            <w:tcBorders>
              <w:top w:val="nil"/>
              <w:left w:val="nil"/>
              <w:bottom w:val="single" w:color="000000" w:sz="12" w:space="0"/>
              <w:right w:val="single" w:color="000000" w:sz="12"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2856" w:type="dxa"/>
          <w:trHeight w:val="615" w:hRule="atLeast"/>
        </w:trPr>
        <w:tc>
          <w:tcPr>
            <w:tcW w:w="4945" w:type="pct"/>
            <w:gridSpan w:val="9"/>
            <w:tcBorders>
              <w:top w:val="single" w:color="000000" w:sz="8"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596"/>
        <w:gridCol w:w="993"/>
        <w:gridCol w:w="567"/>
        <w:gridCol w:w="1275"/>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财政拨款收入支出决算总表</w:t>
            </w:r>
          </w:p>
        </w:tc>
        <w:tc>
          <w:tcPr>
            <w:tcW w:w="1058" w:type="dxa"/>
            <w:tcBorders>
              <w:top w:val="nil"/>
              <w:left w:val="nil"/>
              <w:bottom w:val="nil"/>
              <w:right w:val="nil"/>
            </w:tcBorders>
          </w:tcPr>
          <w:p>
            <w:pPr>
              <w:widowControl/>
              <w:jc w:val="center"/>
              <w:textAlignment w:val="center"/>
              <w:rPr>
                <w:rFonts w:ascii="华文中宋" w:hAnsi="华文中宋" w:eastAsia="华文中宋" w:cs="华文中宋"/>
                <w:color w:val="000000"/>
                <w:kern w:val="0"/>
                <w:sz w:val="32"/>
                <w:szCs w:val="32"/>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6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c>
          <w:tcPr>
            <w:tcW w:w="1058" w:type="dxa"/>
            <w:tcBorders>
              <w:top w:val="nil"/>
              <w:left w:val="nil"/>
              <w:bottom w:val="nil"/>
              <w:right w:val="nil"/>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sz w:val="20"/>
                <w:szCs w:val="20"/>
              </w:rPr>
              <w:t>信阳技师学院</w:t>
            </w: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2021年度</w:t>
            </w: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6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c>
          <w:tcPr>
            <w:tcW w:w="1058" w:type="dxa"/>
            <w:tcBorders>
              <w:top w:val="nil"/>
              <w:left w:val="nil"/>
              <w:bottom w:val="nil"/>
              <w:right w:val="nil"/>
            </w:tcBorders>
            <w:shd w:val="clear" w:color="auto" w:fill="FFFFFF"/>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tcPr>
          <w:p>
            <w:pPr>
              <w:widowControl/>
              <w:jc w:val="center"/>
              <w:textAlignment w:val="center"/>
              <w:rPr>
                <w:rFonts w:ascii="宋体" w:hAnsi="宋体" w:cs="宋体"/>
                <w:color w:val="000000"/>
                <w:kern w:val="0"/>
                <w:sz w:val="20"/>
                <w:szCs w:val="20"/>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2065.01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2065.01</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1825.15</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七、社会保障和就业支出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117.78</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rPr>
              <w:t>八、卫生健康支出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48.83</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2065.01</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九、住房保障支出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73.25</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b/>
                <w:color w:val="000000"/>
                <w:sz w:val="20"/>
                <w:szCs w:val="20"/>
              </w:rPr>
            </w:pPr>
          </w:p>
        </w:tc>
        <w:tc>
          <w:tcPr>
            <w:tcW w:w="1058" w:type="dxa"/>
            <w:tcBorders>
              <w:top w:val="single" w:color="000000" w:sz="4" w:space="0"/>
              <w:left w:val="nil"/>
              <w:bottom w:val="single" w:color="000000" w:sz="4" w:space="0"/>
              <w:right w:val="single" w:color="000000" w:sz="8" w:space="0"/>
            </w:tcBorders>
          </w:tcPr>
          <w:p>
            <w:pPr>
              <w:rPr>
                <w:rFonts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266.03</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266.03</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2065.01</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5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5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c>
          <w:tcPr>
            <w:tcW w:w="1058" w:type="dxa"/>
            <w:tcBorders>
              <w:top w:val="single" w:color="000000" w:sz="4" w:space="0"/>
              <w:left w:val="nil"/>
              <w:bottom w:val="nil"/>
              <w:right w:val="single" w:color="000000" w:sz="8" w:space="0"/>
            </w:tcBorders>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5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c>
          <w:tcPr>
            <w:tcW w:w="1058" w:type="dxa"/>
            <w:tcBorders>
              <w:top w:val="single" w:color="000000" w:sz="4" w:space="0"/>
              <w:left w:val="nil"/>
              <w:bottom w:val="nil"/>
              <w:right w:val="single" w:color="000000" w:sz="8" w:space="0"/>
            </w:tcBorders>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2331.32</w:t>
            </w:r>
          </w:p>
        </w:tc>
        <w:tc>
          <w:tcPr>
            <w:tcW w:w="2596"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5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2331.32</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ascii="宋体" w:hAnsi="宋体" w:cs="宋体"/>
                <w:b/>
                <w:color w:val="000000"/>
                <w:sz w:val="20"/>
                <w:szCs w:val="20"/>
              </w:rPr>
            </w:pPr>
          </w:p>
        </w:tc>
        <w:tc>
          <w:tcPr>
            <w:tcW w:w="1058" w:type="dxa"/>
            <w:tcBorders>
              <w:top w:val="single" w:color="000000" w:sz="4" w:space="0"/>
              <w:left w:val="nil"/>
              <w:bottom w:val="single" w:color="000000" w:sz="8" w:space="0"/>
              <w:right w:val="single" w:color="000000" w:sz="8" w:space="0"/>
            </w:tcBorders>
          </w:tcPr>
          <w:p>
            <w:pPr>
              <w:rPr>
                <w:rFonts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tcPr>
          <w:p>
            <w:pPr>
              <w:widowControl/>
              <w:jc w:val="left"/>
              <w:textAlignment w:val="center"/>
              <w:rPr>
                <w:rFonts w:ascii="宋体" w:hAnsi="宋体" w:cs="宋体"/>
                <w:color w:val="000000"/>
                <w:kern w:val="0"/>
                <w:sz w:val="20"/>
                <w:szCs w:val="20"/>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68" w:type="dxa"/>
        <w:tblLayout w:type="autofit"/>
        <w:tblCellMar>
          <w:top w:w="0" w:type="dxa"/>
          <w:left w:w="108" w:type="dxa"/>
          <w:bottom w:w="0" w:type="dxa"/>
          <w:right w:w="108" w:type="dxa"/>
        </w:tblCellMar>
      </w:tblPr>
      <w:tblGrid>
        <w:gridCol w:w="698"/>
        <w:gridCol w:w="310"/>
        <w:gridCol w:w="107"/>
        <w:gridCol w:w="417"/>
        <w:gridCol w:w="2261"/>
        <w:gridCol w:w="938"/>
        <w:gridCol w:w="837"/>
        <w:gridCol w:w="33"/>
        <w:gridCol w:w="1651"/>
        <w:gridCol w:w="415"/>
        <w:gridCol w:w="938"/>
        <w:gridCol w:w="331"/>
        <w:gridCol w:w="539"/>
        <w:gridCol w:w="1145"/>
        <w:gridCol w:w="1684"/>
        <w:gridCol w:w="746"/>
        <w:gridCol w:w="969"/>
      </w:tblGrid>
      <w:tr>
        <w:tblPrEx>
          <w:tblCellMar>
            <w:top w:w="0" w:type="dxa"/>
            <w:left w:w="108" w:type="dxa"/>
            <w:bottom w:w="0" w:type="dxa"/>
            <w:right w:w="108" w:type="dxa"/>
          </w:tblCellMar>
        </w:tblPrEx>
        <w:trPr>
          <w:trHeight w:val="616" w:hRule="atLeast"/>
        </w:trPr>
        <w:tc>
          <w:tcPr>
            <w:tcW w:w="13933" w:type="dxa"/>
            <w:gridSpan w:val="17"/>
            <w:tcBorders>
              <w:top w:val="nil"/>
              <w:left w:val="nil"/>
              <w:bottom w:val="single" w:color="808080" w:sz="4" w:space="0"/>
              <w:right w:val="nil"/>
            </w:tcBorders>
            <w:shd w:val="clear" w:color="auto" w:fill="auto"/>
            <w:noWrap/>
            <w:vAlign w:val="center"/>
          </w:tcPr>
          <w:p>
            <w:pPr>
              <w:jc w:val="center"/>
              <w:rPr>
                <w:rFonts w:ascii="宋体" w:hAnsi="宋体" w:cs="宋体"/>
                <w:color w:val="000000"/>
                <w:kern w:val="0"/>
                <w:sz w:val="24"/>
                <w:szCs w:val="24"/>
              </w:rPr>
            </w:pPr>
            <w:r>
              <w:rPr>
                <w:rFonts w:hint="eastAsia" w:ascii="华文中宋" w:hAnsi="华文中宋" w:eastAsia="华文中宋" w:cs="华文中宋"/>
                <w:color w:val="000000"/>
                <w:kern w:val="0"/>
                <w:sz w:val="32"/>
                <w:szCs w:val="32"/>
              </w:rPr>
              <w:t>一般公共预算财政拨款支出决算表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5" w:hRule="atLeast"/>
        </w:trPr>
        <w:tc>
          <w:tcPr>
            <w:tcW w:w="100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785"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gridSpan w:val="3"/>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公开05表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00" w:hRule="atLeast"/>
        </w:trPr>
        <w:tc>
          <w:tcPr>
            <w:tcW w:w="1008" w:type="dxa"/>
            <w:gridSpan w:val="2"/>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hint="eastAsia" w:ascii="宋体" w:hAnsi="宋体" w:cs="宋体"/>
                <w:color w:val="000000"/>
                <w:kern w:val="0"/>
                <w:sz w:val="20"/>
                <w:szCs w:val="20"/>
              </w:rPr>
              <w:t>部门</w:t>
            </w:r>
            <w:r>
              <w:rPr>
                <w:rFonts w:ascii="Arial" w:hAnsi="Arial" w:cs="Arial"/>
                <w:color w:val="000000"/>
                <w:kern w:val="0"/>
                <w:sz w:val="20"/>
                <w:szCs w:val="20"/>
              </w:rPr>
              <w:t>：</w:t>
            </w:r>
          </w:p>
        </w:tc>
        <w:tc>
          <w:tcPr>
            <w:tcW w:w="2785" w:type="dxa"/>
            <w:gridSpan w:val="3"/>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sz w:val="20"/>
                <w:szCs w:val="20"/>
              </w:rPr>
              <w:t>信阳技师学院</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Arial" w:hAnsi="Arial" w:cs="Arial"/>
                <w:color w:val="000000"/>
                <w:sz w:val="20"/>
                <w:szCs w:val="20"/>
              </w:rPr>
              <w:t>2021年度</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gridSpan w:val="3"/>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5568" w:type="dxa"/>
            <w:gridSpan w:val="7"/>
            <w:tcBorders>
              <w:top w:val="nil"/>
              <w:left w:val="single" w:color="000000" w:sz="12"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420" w:type="dxa"/>
            <w:gridSpan w:val="10"/>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108" w:type="dxa"/>
            <w:bottom w:w="0" w:type="dxa"/>
            <w:right w:w="108" w:type="dxa"/>
          </w:tblCellMar>
        </w:tblPrEx>
        <w:trPr>
          <w:trHeight w:val="300" w:hRule="atLeast"/>
        </w:trPr>
        <w:tc>
          <w:tcPr>
            <w:tcW w:w="1532" w:type="dxa"/>
            <w:gridSpan w:val="4"/>
            <w:vMerge w:val="restart"/>
            <w:tcBorders>
              <w:top w:val="nil"/>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支出功能分类科目编码</w:t>
            </w:r>
          </w:p>
        </w:tc>
        <w:tc>
          <w:tcPr>
            <w:tcW w:w="403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8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5052" w:type="dxa"/>
            <w:gridSpan w:val="6"/>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68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108" w:type="dxa"/>
            <w:bottom w:w="0" w:type="dxa"/>
            <w:right w:w="108" w:type="dxa"/>
          </w:tblCellMar>
        </w:tblPrEx>
        <w:trPr>
          <w:trHeight w:val="312" w:hRule="atLeast"/>
        </w:trPr>
        <w:tc>
          <w:tcPr>
            <w:tcW w:w="1532" w:type="dxa"/>
            <w:gridSpan w:val="4"/>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036"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84"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8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68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1684"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c>
          <w:tcPr>
            <w:tcW w:w="1684"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1532" w:type="dxa"/>
            <w:gridSpan w:val="4"/>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036"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84"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84"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84"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84"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84"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698" w:type="dxa"/>
            <w:vMerge w:val="restart"/>
            <w:tcBorders>
              <w:top w:val="nil"/>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类</w:t>
            </w:r>
          </w:p>
        </w:tc>
        <w:tc>
          <w:tcPr>
            <w:tcW w:w="417"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款</w:t>
            </w:r>
          </w:p>
        </w:tc>
        <w:tc>
          <w:tcPr>
            <w:tcW w:w="41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4036" w:type="dxa"/>
            <w:gridSpan w:val="3"/>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r>
      <w:tr>
        <w:tblPrEx>
          <w:tblCellMar>
            <w:top w:w="0" w:type="dxa"/>
            <w:left w:w="108" w:type="dxa"/>
            <w:bottom w:w="0" w:type="dxa"/>
            <w:right w:w="108" w:type="dxa"/>
          </w:tblCellMar>
        </w:tblPrEx>
        <w:trPr>
          <w:trHeight w:val="300" w:hRule="atLeast"/>
        </w:trPr>
        <w:tc>
          <w:tcPr>
            <w:tcW w:w="698" w:type="dxa"/>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17"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17"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03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2,065.01</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1,832.84</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232.17</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205</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教育支出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1,825.14</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1,825.14</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1,592.97</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232.17</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20501</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教育管理事务</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2050199</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其他教育管理事务支出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20503</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职业教育</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1,825.14</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1,825.14</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1,592.97</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232.17</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2050302</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中等职业教育</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78.05</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78.05</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78.05</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2050303</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技校教育</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1,667.10</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1,667.10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1,434.92</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232.17</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2050399</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其他职业教育支出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80.00</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80.00</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社会保障和就业支出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117.78</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117.78</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117.78</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20801</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人力资源和社会保障管理事务</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2080199</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其他人力资源和社会保障管理事务支出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20805</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行政事业单位养老支出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97.67</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97.67</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97.67</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97.67</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97.67</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97.67</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20808</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抚恤</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10.96</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10.96</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10.96</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10.96</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10.96</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10.96</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20899</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其他社会保障和就业支出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9.16</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9.16</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9.16</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2089999</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其他社会保障和就业支出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9.16</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9.16</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9.16</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210</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卫生健康支出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21011</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行政事业单位医疗</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48.83</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48.83</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221</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住房保障支出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22102</w:t>
            </w:r>
          </w:p>
        </w:tc>
        <w:tc>
          <w:tcPr>
            <w:tcW w:w="4036" w:type="dxa"/>
            <w:gridSpan w:val="3"/>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住房改革支出</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1684" w:type="dxa"/>
            <w:gridSpan w:val="3"/>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73.25</w:t>
            </w:r>
          </w:p>
        </w:tc>
        <w:tc>
          <w:tcPr>
            <w:tcW w:w="16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c>
          <w:tcPr>
            <w:tcW w:w="1684"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0.00</w:t>
            </w:r>
          </w:p>
        </w:tc>
      </w:tr>
      <w:tr>
        <w:tblPrEx>
          <w:tblCellMar>
            <w:top w:w="0" w:type="dxa"/>
            <w:left w:w="108" w:type="dxa"/>
            <w:bottom w:w="0" w:type="dxa"/>
            <w:right w:w="108" w:type="dxa"/>
          </w:tblCellMar>
        </w:tblPrEx>
        <w:trPr>
          <w:trHeight w:val="300" w:hRule="atLeast"/>
        </w:trPr>
        <w:tc>
          <w:tcPr>
            <w:tcW w:w="1532" w:type="dxa"/>
            <w:gridSpan w:val="4"/>
            <w:tcBorders>
              <w:top w:val="nil"/>
              <w:left w:val="single" w:color="000000" w:sz="12" w:space="0"/>
              <w:bottom w:val="single" w:color="000000" w:sz="12"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2210201</w:t>
            </w:r>
          </w:p>
        </w:tc>
        <w:tc>
          <w:tcPr>
            <w:tcW w:w="4036" w:type="dxa"/>
            <w:gridSpan w:val="3"/>
            <w:tcBorders>
              <w:top w:val="nil"/>
              <w:left w:val="nil"/>
              <w:bottom w:val="single" w:color="000000" w:sz="12"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684" w:type="dxa"/>
            <w:gridSpan w:val="2"/>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1684" w:type="dxa"/>
            <w:gridSpan w:val="3"/>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1684" w:type="dxa"/>
            <w:gridSpan w:val="2"/>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73.25</w:t>
            </w:r>
          </w:p>
        </w:tc>
        <w:tc>
          <w:tcPr>
            <w:tcW w:w="1684" w:type="dxa"/>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684" w:type="dxa"/>
            <w:gridSpan w:val="2"/>
            <w:tcBorders>
              <w:top w:val="nil"/>
              <w:left w:val="nil"/>
              <w:bottom w:val="single" w:color="000000" w:sz="12" w:space="0"/>
              <w:right w:val="single" w:color="000000" w:sz="4" w:space="0"/>
            </w:tcBorders>
            <w:shd w:val="clear" w:color="auto" w:fill="auto"/>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15" w:hRule="atLeast"/>
        </w:trPr>
        <w:tc>
          <w:tcPr>
            <w:tcW w:w="14019" w:type="dxa"/>
            <w:gridSpan w:val="17"/>
            <w:tcBorders>
              <w:top w:val="single" w:color="000000" w:sz="8"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hint="eastAsia" w:ascii="宋体" w:hAnsi="宋体" w:cs="宋体"/>
                <w:color w:val="000000"/>
                <w:kern w:val="0"/>
                <w:sz w:val="20"/>
                <w:szCs w:val="20"/>
              </w:rPr>
              <w:t>部门</w:t>
            </w:r>
            <w:r>
              <w:rPr>
                <w:rFonts w:ascii="Arial" w:hAnsi="Arial" w:cs="Arial"/>
                <w:color w:val="000000"/>
                <w:kern w:val="0"/>
                <w:sz w:val="20"/>
                <w:szCs w:val="20"/>
              </w:rPr>
              <w:t>：</w:t>
            </w:r>
          </w:p>
        </w:tc>
        <w:tc>
          <w:tcPr>
            <w:tcW w:w="278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sz w:val="20"/>
                <w:szCs w:val="20"/>
              </w:rPr>
              <w:t>信阳技师学院</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Arial" w:hAnsi="Arial" w:cs="Arial"/>
                <w:color w:val="000000"/>
                <w:sz w:val="20"/>
                <w:szCs w:val="20"/>
              </w:rPr>
              <w:t>2021年度</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1770.24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232.17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771.68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11.93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135.97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16.74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348.26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125.91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14.41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97.67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24.55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48.83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6.6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9.16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13.19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73.25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47.27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156.7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7.36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10.96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43.24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24.93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23.31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34.69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1832.84</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232.17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149"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信阳技师学院</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2021年度</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0.75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0.75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0.75</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12"/>
                <w:rFonts w:hint="default"/>
                <w:sz w:val="20"/>
                <w:szCs w:val="20"/>
              </w:rPr>
              <w:t>预算数为“三公”经费年初预算数，决算数是包括当年一般公共预算财政拨款和以前年度结转资金安排的实际支出。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16"/>
        <w:gridCol w:w="20"/>
        <w:gridCol w:w="30"/>
        <w:gridCol w:w="124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7"/>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112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27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信阳技师学院</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2021年度</w:t>
            </w: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5"/>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gridSpan w:val="2"/>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3"/>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5"/>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After w:val="1"/>
          <w:wAfter w:w="30" w:type="dxa"/>
          <w:trHeight w:val="450" w:hRule="atLeast"/>
        </w:trPr>
        <w:tc>
          <w:tcPr>
            <w:tcW w:w="2424" w:type="dxa"/>
            <w:gridSpan w:val="5"/>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注：本表反映部门本年度政府性基金预算财政拨款收入、支出及结转和结余情况。</w:t>
            </w:r>
          </w:p>
          <w:p>
            <w:pPr>
              <w:widowControl/>
              <w:jc w:val="left"/>
              <w:textAlignment w:val="center"/>
              <w:rPr>
                <w:rFonts w:ascii="宋体" w:hAnsi="宋体" w:cs="宋体"/>
                <w:color w:val="000000"/>
                <w:sz w:val="22"/>
              </w:rPr>
            </w:pPr>
            <w:r>
              <w:rPr>
                <w:rFonts w:hint="eastAsia" w:ascii="宋体" w:hAnsi="宋体" w:cs="宋体"/>
                <w:color w:val="000000"/>
                <w:sz w:val="22"/>
              </w:rPr>
              <w:t>说明：我部门没有政府性基金收入，也没有使用政府性基金安排的支出，故本表无数据。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lang w:val="en-US" w:eastAsia="zh-CN"/>
        </w:rPr>
      </w:pPr>
    </w:p>
    <w:p>
      <w:pPr>
        <w:rPr>
          <w:lang w:val="en-US" w:eastAsia="zh-CN"/>
        </w:rPr>
      </w:pPr>
    </w:p>
    <w:p>
      <w:pPr>
        <w:rPr>
          <w:lang w:val="en-US" w:eastAsia="zh-CN"/>
        </w:rPr>
      </w:pPr>
    </w:p>
    <w:p>
      <w:pPr>
        <w:rPr>
          <w:lang w:val="en-US" w:eastAsia="zh-CN"/>
        </w:rPr>
      </w:pP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r>
        <w:rPr>
          <w:rFonts w:hint="eastAsia" w:ascii="黑体" w:hAnsi="黑体" w:eastAsia="黑体"/>
          <w:sz w:val="48"/>
          <w:szCs w:val="48"/>
        </w:rPr>
        <w:t>第</w:t>
      </w:r>
      <w:r>
        <w:rPr>
          <w:rFonts w:hint="eastAsia" w:ascii="黑体" w:hAnsi="黑体" w:eastAsia="黑体"/>
          <w:sz w:val="48"/>
          <w:szCs w:val="48"/>
          <w:lang w:val="en-US" w:eastAsia="zh-CN"/>
        </w:rPr>
        <w:t>三</w:t>
      </w:r>
      <w:r>
        <w:rPr>
          <w:rFonts w:hint="eastAsia" w:ascii="黑体" w:hAnsi="黑体" w:eastAsia="黑体"/>
          <w:sz w:val="48"/>
          <w:szCs w:val="48"/>
        </w:rPr>
        <w:t>部分</w:t>
      </w: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p>
    <w:p>
      <w:pPr>
        <w:jc w:val="center"/>
        <w:outlineLvl w:val="0"/>
        <w:rPr>
          <w:rFonts w:hint="eastAsia" w:ascii="黑体" w:hAnsi="黑体" w:eastAsia="黑体"/>
          <w:sz w:val="48"/>
          <w:szCs w:val="48"/>
        </w:rPr>
      </w:pPr>
    </w:p>
    <w:p>
      <w:pPr>
        <w:jc w:val="center"/>
        <w:rPr>
          <w:rFonts w:hint="eastAsia" w:ascii="黑体" w:hAnsi="黑体" w:eastAsia="黑体"/>
          <w:sz w:val="48"/>
          <w:szCs w:val="48"/>
          <w:lang w:eastAsia="zh-CN"/>
        </w:rPr>
      </w:pPr>
      <w:r>
        <w:rPr>
          <w:rFonts w:hint="eastAsia" w:ascii="黑体" w:hAnsi="黑体" w:eastAsia="黑体"/>
          <w:sz w:val="48"/>
          <w:szCs w:val="48"/>
        </w:rPr>
        <w:t>信阳</w:t>
      </w:r>
      <w:r>
        <w:rPr>
          <w:rFonts w:hint="eastAsia" w:ascii="黑体" w:hAnsi="黑体" w:eastAsia="黑体"/>
          <w:sz w:val="48"/>
          <w:szCs w:val="48"/>
          <w:lang w:eastAsia="zh-CN"/>
        </w:rPr>
        <w:t>技师学院</w:t>
      </w:r>
    </w:p>
    <w:p>
      <w:pPr>
        <w:widowControl/>
        <w:jc w:val="center"/>
        <w:rPr>
          <w:rFonts w:ascii="黑体" w:hAnsi="黑体" w:eastAsia="黑体"/>
          <w:sz w:val="48"/>
          <w:szCs w:val="48"/>
        </w:rPr>
      </w:pPr>
      <w:r>
        <w:rPr>
          <w:rFonts w:hint="eastAsia" w:ascii="黑体" w:hAnsi="黑体" w:eastAsia="黑体"/>
          <w:sz w:val="48"/>
          <w:szCs w:val="48"/>
          <w:lang w:eastAsia="zh-CN"/>
        </w:rPr>
        <w:t>2021</w:t>
      </w:r>
      <w:r>
        <w:rPr>
          <w:rFonts w:hint="eastAsia" w:ascii="黑体" w:hAnsi="黑体" w:eastAsia="黑体"/>
          <w:sz w:val="48"/>
          <w:szCs w:val="48"/>
        </w:rPr>
        <w:t>年度部门决算情况说明</w:t>
      </w:r>
    </w:p>
    <w:p>
      <w:pPr>
        <w:widowControl/>
        <w:jc w:val="left"/>
        <w:rPr>
          <w:rFonts w:ascii="黑体" w:hAnsi="黑体" w:eastAsia="黑体" w:cs="宋体"/>
          <w:sz w:val="32"/>
          <w:szCs w:val="32"/>
        </w:rPr>
        <w:sectPr>
          <w:pgSz w:w="11906" w:h="16838"/>
          <w:pgMar w:top="1440" w:right="1800" w:bottom="1440" w:left="1800" w:header="720" w:footer="720" w:gutter="0"/>
          <w:cols w:space="720" w:num="1"/>
          <w:docGrid w:type="lines" w:linePitch="312" w:charSpace="0"/>
        </w:sectPr>
      </w:pPr>
    </w:p>
    <w:p>
      <w:pPr>
        <w:pStyle w:val="4"/>
        <w:spacing w:before="0" w:beforeAutospacing="0" w:line="590" w:lineRule="exact"/>
        <w:ind w:firstLine="640" w:firstLineChars="200"/>
      </w:pPr>
      <w:r>
        <w:rPr>
          <w:rFonts w:hint="eastAsia" w:ascii="黑体" w:hAnsi="黑体" w:eastAsia="黑体"/>
          <w:kern w:val="2"/>
          <w:sz w:val="32"/>
          <w:szCs w:val="32"/>
        </w:rPr>
        <w:t>一、收入支出决算总体情况说明</w:t>
      </w:r>
    </w:p>
    <w:p>
      <w:pPr>
        <w:ind w:firstLine="640" w:firstLineChars="200"/>
      </w:pPr>
      <w:r>
        <w:rPr>
          <w:rFonts w:hint="eastAsia" w:ascii="仿宋_GB2312"/>
          <w:sz w:val="32"/>
          <w:szCs w:val="32"/>
        </w:rPr>
        <w:t>2021年度收、支总计均为2,331.32万元。与上年度 相比，收、支总计各减少851.01万元，下降26.74%。</w:t>
      </w:r>
      <w:r>
        <w:rPr>
          <w:rFonts w:hint="eastAsia" w:ascii="宋体" w:hAnsi="仿宋"/>
          <w:sz w:val="32"/>
          <w:szCs w:val="32"/>
        </w:rPr>
        <w:t>变动的主要原因是</w:t>
      </w:r>
      <w:r>
        <w:rPr>
          <w:rFonts w:hint="eastAsia" w:ascii="宋体" w:hAnsi="仿宋"/>
          <w:sz w:val="32"/>
          <w:szCs w:val="32"/>
          <w:lang w:val="en-US" w:eastAsia="zh-CN"/>
        </w:rPr>
        <w:t>厉行节约、节省开支及减少支出项目</w:t>
      </w:r>
      <w:r>
        <w:rPr>
          <w:rFonts w:hint="eastAsia" w:ascii="宋体" w:hAnsi="仿宋"/>
          <w:sz w:val="32"/>
          <w:szCs w:val="32"/>
        </w:rPr>
        <w:t>。</w:t>
      </w:r>
      <w:r>
        <w:rPr>
          <w:rFonts w:ascii="仿宋_GB2312"/>
          <w:sz w:val="32"/>
          <w:szCs w:val="32"/>
        </w:rPr>
        <w:tab/>
      </w:r>
    </w:p>
    <w:p>
      <w:pPr>
        <w:pStyle w:val="4"/>
        <w:spacing w:before="0" w:beforeAutospacing="0" w:line="590" w:lineRule="exact"/>
        <w:ind w:firstLine="640" w:firstLineChars="200"/>
      </w:pPr>
      <w:r>
        <w:rPr>
          <w:rFonts w:hint="eastAsia" w:ascii="黑体" w:hAnsi="黑体" w:eastAsia="黑体"/>
          <w:kern w:val="2"/>
          <w:sz w:val="32"/>
          <w:szCs w:val="32"/>
        </w:rPr>
        <w:t>二、收入决算情况说明</w:t>
      </w:r>
    </w:p>
    <w:p>
      <w:pPr>
        <w:pStyle w:val="4"/>
        <w:spacing w:before="0" w:beforeAutospacing="0" w:line="590" w:lineRule="exact"/>
        <w:ind w:firstLine="640" w:firstLineChars="200"/>
        <w:rPr>
          <w:rFonts w:hint="eastAsia" w:ascii="仿宋_GB2312"/>
          <w:kern w:val="2"/>
          <w:sz w:val="32"/>
          <w:szCs w:val="32"/>
        </w:rPr>
      </w:pPr>
      <w:r>
        <w:rPr>
          <w:rFonts w:hint="eastAsia" w:ascii="仿宋_GB2312"/>
          <w:kern w:val="2"/>
          <w:sz w:val="32"/>
          <w:szCs w:val="32"/>
        </w:rPr>
        <w:t>2021 年度收入合计2,065.01万元，其中：财政拨款收入 2,065.01万元，占 100.00%；上级补助 收入0.00万元，占0.00%；事业收入0.00万元，占 0.00%；经营收入0.00万元，占0.00%；附属单位上缴收入 0.00万元，占0.00%；其他收入0.00万元，占 0.00%。</w:t>
      </w:r>
    </w:p>
    <w:p>
      <w:pPr>
        <w:pStyle w:val="4"/>
        <w:spacing w:before="0" w:beforeAutospacing="0" w:line="590" w:lineRule="exact"/>
        <w:ind w:firstLine="640" w:firstLineChars="200"/>
      </w:pPr>
      <w:r>
        <w:rPr>
          <w:rFonts w:hint="eastAsia" w:ascii="黑体" w:hAnsi="黑体" w:eastAsia="黑体"/>
          <w:kern w:val="2"/>
          <w:sz w:val="32"/>
          <w:szCs w:val="32"/>
        </w:rPr>
        <w:t>三、支出决算情况说明</w:t>
      </w:r>
    </w:p>
    <w:p>
      <w:pPr>
        <w:pStyle w:val="4"/>
        <w:spacing w:before="0" w:beforeAutospacing="0" w:line="590" w:lineRule="exact"/>
        <w:ind w:firstLine="640" w:firstLineChars="200"/>
      </w:pPr>
      <w:r>
        <w:rPr>
          <w:rFonts w:hint="eastAsia" w:ascii="仿宋_GB2312"/>
          <w:kern w:val="2"/>
          <w:sz w:val="32"/>
          <w:szCs w:val="32"/>
        </w:rPr>
        <w:t>2021年度支出合计 2,065.01万元，其中：基本支出</w:t>
      </w:r>
      <w:r>
        <w:rPr>
          <w:rFonts w:hint="eastAsia" w:ascii="仿宋_GB2312"/>
          <w:kern w:val="2"/>
          <w:sz w:val="32"/>
          <w:szCs w:val="32"/>
          <w:lang w:val="en-US" w:eastAsia="zh-CN"/>
        </w:rPr>
        <w:t>1940.01</w:t>
      </w:r>
      <w:r>
        <w:rPr>
          <w:rFonts w:hint="eastAsia" w:ascii="仿宋_GB2312"/>
          <w:kern w:val="2"/>
          <w:sz w:val="32"/>
          <w:szCs w:val="32"/>
        </w:rPr>
        <w:t xml:space="preserve"> 万元，占</w:t>
      </w:r>
      <w:r>
        <w:rPr>
          <w:rFonts w:hint="eastAsia" w:ascii="仿宋_GB2312"/>
          <w:kern w:val="2"/>
          <w:sz w:val="32"/>
          <w:szCs w:val="32"/>
          <w:lang w:val="en-US" w:eastAsia="zh-CN"/>
        </w:rPr>
        <w:t>93.95</w:t>
      </w:r>
      <w:r>
        <w:rPr>
          <w:rFonts w:hint="eastAsia" w:ascii="仿宋_GB2312"/>
          <w:kern w:val="2"/>
          <w:sz w:val="32"/>
          <w:szCs w:val="32"/>
        </w:rPr>
        <w:t xml:space="preserve">%；项目支出 </w:t>
      </w:r>
      <w:r>
        <w:rPr>
          <w:rFonts w:hint="eastAsia" w:ascii="仿宋_GB2312"/>
          <w:kern w:val="2"/>
          <w:sz w:val="32"/>
          <w:szCs w:val="32"/>
          <w:lang w:val="en-US" w:eastAsia="zh-CN"/>
        </w:rPr>
        <w:t>125</w:t>
      </w:r>
      <w:r>
        <w:rPr>
          <w:rFonts w:hint="eastAsia" w:ascii="仿宋_GB2312"/>
          <w:kern w:val="2"/>
          <w:sz w:val="32"/>
          <w:szCs w:val="32"/>
        </w:rPr>
        <w:t>万元，占</w:t>
      </w:r>
      <w:r>
        <w:rPr>
          <w:rFonts w:hint="eastAsia" w:ascii="仿宋_GB2312"/>
          <w:kern w:val="2"/>
          <w:sz w:val="32"/>
          <w:szCs w:val="32"/>
          <w:lang w:val="en-US" w:eastAsia="zh-CN"/>
        </w:rPr>
        <w:t>6.05</w:t>
      </w:r>
      <w:r>
        <w:rPr>
          <w:rFonts w:hint="eastAsia" w:ascii="仿宋_GB2312"/>
          <w:kern w:val="2"/>
          <w:sz w:val="32"/>
          <w:szCs w:val="32"/>
        </w:rPr>
        <w:t>%；上缴上级支出0.00万元，占 0.00%；经营支出0.00万元，占0.00%；对附属单位补助支出 0.00万元，占0.00%。</w:t>
      </w:r>
    </w:p>
    <w:p>
      <w:pPr>
        <w:pStyle w:val="4"/>
        <w:spacing w:before="0" w:beforeAutospacing="0" w:line="590" w:lineRule="exact"/>
        <w:ind w:firstLine="640" w:firstLineChars="200"/>
      </w:pPr>
      <w:r>
        <w:rPr>
          <w:rFonts w:hint="eastAsia" w:ascii="黑体" w:hAnsi="黑体" w:eastAsia="黑体"/>
          <w:kern w:val="2"/>
          <w:sz w:val="32"/>
          <w:szCs w:val="32"/>
        </w:rPr>
        <w:t>四、财政拨款收入支出决算总体情况说明</w:t>
      </w:r>
    </w:p>
    <w:p>
      <w:pPr>
        <w:pStyle w:val="4"/>
        <w:spacing w:before="0" w:beforeAutospacing="0" w:line="590" w:lineRule="exact"/>
        <w:ind w:firstLine="640" w:firstLineChars="200"/>
        <w:rPr>
          <w:rFonts w:hint="eastAsia" w:ascii="仿宋_GB2312"/>
          <w:kern w:val="2"/>
          <w:sz w:val="32"/>
          <w:szCs w:val="32"/>
        </w:rPr>
      </w:pPr>
      <w:r>
        <w:rPr>
          <w:rFonts w:hint="eastAsia" w:ascii="仿宋_GB2312"/>
          <w:kern w:val="2"/>
          <w:sz w:val="32"/>
          <w:szCs w:val="32"/>
        </w:rPr>
        <w:t xml:space="preserve">2021年度财政拨款收、支总计均为 </w:t>
      </w:r>
      <w:r>
        <w:rPr>
          <w:rFonts w:hint="eastAsia" w:ascii="仿宋_GB2312"/>
          <w:kern w:val="2"/>
          <w:sz w:val="32"/>
          <w:szCs w:val="32"/>
          <w:lang w:val="en-US" w:eastAsia="zh-CN"/>
        </w:rPr>
        <w:t>2065.01</w:t>
      </w:r>
      <w:r>
        <w:rPr>
          <w:rFonts w:hint="eastAsia" w:ascii="仿宋_GB2312"/>
          <w:kern w:val="2"/>
          <w:sz w:val="32"/>
          <w:szCs w:val="32"/>
        </w:rPr>
        <w:t>万元。与上年度相比，财政拨款收、支总计各减 少851.01万元，下 降26.74%。主要原因是厉行节约、节省开支</w:t>
      </w:r>
      <w:r>
        <w:rPr>
          <w:rFonts w:hint="eastAsia" w:ascii="仿宋_GB2312"/>
          <w:kern w:val="2"/>
          <w:sz w:val="32"/>
          <w:szCs w:val="32"/>
          <w:lang w:val="en-US" w:eastAsia="zh-CN"/>
        </w:rPr>
        <w:t>及减少支出项目</w:t>
      </w:r>
      <w:r>
        <w:rPr>
          <w:rFonts w:hint="eastAsia" w:ascii="仿宋_GB2312"/>
          <w:kern w:val="2"/>
          <w:sz w:val="32"/>
          <w:szCs w:val="32"/>
        </w:rPr>
        <w:t>。</w:t>
      </w:r>
    </w:p>
    <w:p>
      <w:pPr>
        <w:pStyle w:val="4"/>
        <w:spacing w:before="0" w:beforeAutospacing="0" w:line="590" w:lineRule="exact"/>
        <w:ind w:firstLine="640" w:firstLineChars="200"/>
      </w:pPr>
      <w:r>
        <w:rPr>
          <w:rFonts w:hint="eastAsia" w:ascii="黑体" w:hAnsi="黑体" w:eastAsia="黑体"/>
          <w:kern w:val="2"/>
          <w:sz w:val="32"/>
          <w:szCs w:val="32"/>
        </w:rPr>
        <w:t>五、一般公共预算财政拨款支出决算情况说明</w:t>
      </w:r>
    </w:p>
    <w:p>
      <w:pPr>
        <w:pStyle w:val="4"/>
        <w:spacing w:before="0" w:beforeAutospacing="0" w:line="590" w:lineRule="exact"/>
        <w:ind w:firstLine="643" w:firstLineChars="200"/>
      </w:pPr>
      <w:r>
        <w:rPr>
          <w:rFonts w:ascii="楷体_GB2312" w:hAnsi="楷体_GB2312"/>
          <w:b/>
          <w:bCs/>
          <w:kern w:val="2"/>
          <w:sz w:val="32"/>
          <w:szCs w:val="32"/>
        </w:rPr>
        <w:t>（一）总体情况。</w:t>
      </w:r>
    </w:p>
    <w:p>
      <w:pPr>
        <w:pStyle w:val="4"/>
        <w:spacing w:before="0" w:beforeAutospacing="0" w:line="590" w:lineRule="exact"/>
        <w:ind w:firstLine="640" w:firstLineChars="200"/>
        <w:rPr>
          <w:rFonts w:ascii="仿宋_GB2312"/>
          <w:kern w:val="2"/>
          <w:sz w:val="32"/>
          <w:szCs w:val="32"/>
        </w:rPr>
      </w:pPr>
      <w:r>
        <w:rPr>
          <w:rFonts w:hint="eastAsia" w:ascii="仿宋_GB2312"/>
          <w:kern w:val="2"/>
          <w:sz w:val="32"/>
          <w:szCs w:val="32"/>
        </w:rPr>
        <w:t xml:space="preserve"> 2021年度一般公共预算财政拨款支出2,065.01万元，占支出合计的 100.00%。与上年度相比，一般公共预算财政拨款支出减 少851.01万元，下 降29.18%。主要原因是厉行节约、节省开支</w:t>
      </w:r>
      <w:r>
        <w:rPr>
          <w:rFonts w:hint="eastAsia" w:ascii="仿宋_GB2312"/>
          <w:kern w:val="2"/>
          <w:sz w:val="32"/>
          <w:szCs w:val="32"/>
          <w:lang w:val="en-US" w:eastAsia="zh-CN"/>
        </w:rPr>
        <w:t>及减少支出项目</w:t>
      </w:r>
      <w:r>
        <w:rPr>
          <w:rFonts w:hint="eastAsia" w:ascii="仿宋_GB2312"/>
          <w:kern w:val="2"/>
          <w:sz w:val="32"/>
          <w:szCs w:val="32"/>
        </w:rPr>
        <w:t>。</w:t>
      </w:r>
    </w:p>
    <w:p>
      <w:pPr>
        <w:pStyle w:val="4"/>
        <w:spacing w:before="0" w:beforeAutospacing="0" w:line="590" w:lineRule="exact"/>
        <w:ind w:firstLine="643" w:firstLineChars="200"/>
      </w:pPr>
      <w:r>
        <w:rPr>
          <w:rFonts w:ascii="楷体_GB2312" w:hAnsi="楷体_GB2312"/>
          <w:b/>
          <w:bCs/>
          <w:kern w:val="2"/>
          <w:sz w:val="32"/>
          <w:szCs w:val="32"/>
        </w:rPr>
        <w:t>（二）结构情况。</w:t>
      </w:r>
    </w:p>
    <w:p>
      <w:pPr>
        <w:ind w:firstLine="640" w:firstLineChars="200"/>
        <w:rPr>
          <w:rFonts w:hint="eastAsia" w:ascii="仿宋_GB2312" w:hAnsiTheme="majorEastAsia" w:eastAsiaTheme="majorEastAsia"/>
          <w:color w:val="auto"/>
          <w:sz w:val="32"/>
          <w:szCs w:val="32"/>
        </w:rPr>
      </w:pPr>
      <w:r>
        <w:rPr>
          <w:rFonts w:hint="eastAsia" w:ascii="仿宋_GB2312"/>
          <w:color w:val="auto"/>
          <w:sz w:val="32"/>
          <w:szCs w:val="32"/>
        </w:rPr>
        <w:t>2021年度一般公共预算财政拨款支出2,065.01万元，主要用于以下方面：教育(类）支出</w:t>
      </w:r>
      <w:r>
        <w:rPr>
          <w:rFonts w:hint="eastAsia" w:ascii="仿宋_GB2312"/>
          <w:color w:val="auto"/>
          <w:sz w:val="32"/>
          <w:szCs w:val="32"/>
          <w:lang w:val="en-US" w:eastAsia="zh-CN"/>
        </w:rPr>
        <w:t>1825.15</w:t>
      </w:r>
      <w:r>
        <w:rPr>
          <w:rFonts w:hint="eastAsia" w:ascii="仿宋_GB2312"/>
          <w:color w:val="auto"/>
          <w:sz w:val="32"/>
          <w:szCs w:val="32"/>
        </w:rPr>
        <w:t>万元，占支出总额</w:t>
      </w:r>
      <w:r>
        <w:rPr>
          <w:rFonts w:hint="eastAsia" w:ascii="仿宋_GB2312"/>
          <w:color w:val="auto"/>
          <w:sz w:val="32"/>
          <w:szCs w:val="32"/>
          <w:lang w:val="en-US" w:eastAsia="zh-CN"/>
        </w:rPr>
        <w:t>88.38</w:t>
      </w:r>
      <w:r>
        <w:rPr>
          <w:rFonts w:hint="eastAsia" w:ascii="仿宋_GB2312"/>
          <w:color w:val="auto"/>
          <w:sz w:val="32"/>
          <w:szCs w:val="32"/>
        </w:rPr>
        <w:t>%；社会保障和就业（类）支出</w:t>
      </w:r>
      <w:r>
        <w:rPr>
          <w:rFonts w:hint="eastAsia" w:ascii="仿宋_GB2312"/>
          <w:color w:val="auto"/>
          <w:sz w:val="32"/>
          <w:szCs w:val="32"/>
          <w:lang w:val="en-US" w:eastAsia="zh-CN"/>
        </w:rPr>
        <w:t>117.78</w:t>
      </w:r>
      <w:r>
        <w:rPr>
          <w:rFonts w:hint="eastAsia" w:ascii="仿宋_GB2312"/>
          <w:color w:val="auto"/>
          <w:sz w:val="32"/>
          <w:szCs w:val="32"/>
        </w:rPr>
        <w:t>万元，占支出总额</w:t>
      </w:r>
      <w:r>
        <w:rPr>
          <w:rFonts w:hint="eastAsia" w:ascii="仿宋_GB2312"/>
          <w:color w:val="auto"/>
          <w:sz w:val="32"/>
          <w:szCs w:val="32"/>
          <w:lang w:val="en-US" w:eastAsia="zh-CN"/>
        </w:rPr>
        <w:t>5.7</w:t>
      </w:r>
      <w:r>
        <w:rPr>
          <w:rFonts w:hint="eastAsia" w:ascii="仿宋_GB2312"/>
          <w:color w:val="auto"/>
          <w:sz w:val="32"/>
          <w:szCs w:val="32"/>
        </w:rPr>
        <w:t>%；医疗卫生和计划生育（类）支出</w:t>
      </w:r>
      <w:r>
        <w:rPr>
          <w:rFonts w:hint="eastAsia" w:ascii="仿宋_GB2312"/>
          <w:color w:val="auto"/>
          <w:sz w:val="32"/>
          <w:szCs w:val="32"/>
          <w:lang w:val="en-US" w:eastAsia="zh-CN"/>
        </w:rPr>
        <w:t>48.83</w:t>
      </w:r>
      <w:r>
        <w:rPr>
          <w:rFonts w:hint="eastAsia" w:ascii="仿宋_GB2312"/>
          <w:color w:val="auto"/>
          <w:sz w:val="32"/>
          <w:szCs w:val="32"/>
        </w:rPr>
        <w:t>万元，占支出总额</w:t>
      </w:r>
      <w:r>
        <w:rPr>
          <w:rFonts w:hint="eastAsia" w:ascii="仿宋_GB2312"/>
          <w:color w:val="auto"/>
          <w:sz w:val="32"/>
          <w:szCs w:val="32"/>
          <w:lang w:val="en-US" w:eastAsia="zh-CN"/>
        </w:rPr>
        <w:t>2.36</w:t>
      </w:r>
      <w:r>
        <w:rPr>
          <w:rFonts w:hint="eastAsia" w:ascii="仿宋_GB2312"/>
          <w:color w:val="auto"/>
          <w:sz w:val="32"/>
          <w:szCs w:val="32"/>
        </w:rPr>
        <w:t>%；住房和保障支出</w:t>
      </w:r>
      <w:r>
        <w:rPr>
          <w:rFonts w:hint="eastAsia" w:ascii="仿宋_GB2312"/>
          <w:color w:val="auto"/>
          <w:sz w:val="32"/>
          <w:szCs w:val="32"/>
          <w:lang w:val="en-US" w:eastAsia="zh-CN"/>
        </w:rPr>
        <w:t>73.25</w:t>
      </w:r>
      <w:r>
        <w:rPr>
          <w:rFonts w:hint="eastAsia" w:ascii="仿宋_GB2312"/>
          <w:color w:val="auto"/>
          <w:sz w:val="32"/>
          <w:szCs w:val="32"/>
        </w:rPr>
        <w:t>万元，占支出总额</w:t>
      </w:r>
      <w:r>
        <w:rPr>
          <w:rFonts w:hint="eastAsia" w:ascii="仿宋_GB2312"/>
          <w:color w:val="auto"/>
          <w:sz w:val="32"/>
          <w:szCs w:val="32"/>
          <w:lang w:val="en-US" w:eastAsia="zh-CN"/>
        </w:rPr>
        <w:t>3.55</w:t>
      </w:r>
      <w:r>
        <w:rPr>
          <w:rFonts w:hint="eastAsia" w:ascii="仿宋_GB2312"/>
          <w:color w:val="auto"/>
          <w:sz w:val="32"/>
          <w:szCs w:val="32"/>
        </w:rPr>
        <w:t>%。</w:t>
      </w:r>
    </w:p>
    <w:p>
      <w:pPr>
        <w:pStyle w:val="4"/>
        <w:spacing w:before="0" w:beforeAutospacing="0" w:line="590" w:lineRule="exact"/>
        <w:ind w:firstLine="643" w:firstLineChars="200"/>
      </w:pPr>
      <w:r>
        <w:rPr>
          <w:rFonts w:ascii="楷体_GB2312" w:hAnsi="楷体_GB2312"/>
          <w:b/>
          <w:bCs/>
          <w:kern w:val="2"/>
          <w:sz w:val="32"/>
          <w:szCs w:val="32"/>
        </w:rPr>
        <w:t>（三）具体情况。</w:t>
      </w:r>
    </w:p>
    <w:p>
      <w:pPr>
        <w:pStyle w:val="4"/>
        <w:spacing w:before="0" w:beforeAutospacing="0" w:line="590" w:lineRule="exact"/>
        <w:ind w:firstLine="640" w:firstLineChars="200"/>
      </w:pPr>
      <w:r>
        <w:rPr>
          <w:rFonts w:hint="eastAsia" w:ascii="仿宋_GB2312"/>
          <w:kern w:val="2"/>
          <w:sz w:val="32"/>
          <w:szCs w:val="32"/>
        </w:rPr>
        <w:t>2021 年度一般公共预算财政拨款支出年初预算为1,195.50万元，支出决算为 2,065.01万元，完成年初预算的172.73%。其中：</w:t>
      </w:r>
    </w:p>
    <w:p>
      <w:pPr>
        <w:pStyle w:val="4"/>
        <w:numPr>
          <w:ilvl w:val="0"/>
          <w:numId w:val="3"/>
        </w:numPr>
        <w:spacing w:before="0" w:beforeAutospacing="0" w:line="590" w:lineRule="exact"/>
        <w:ind w:firstLine="643"/>
        <w:rPr>
          <w:rFonts w:ascii="仿宋_GB2312"/>
          <w:kern w:val="2"/>
          <w:sz w:val="32"/>
          <w:szCs w:val="32"/>
        </w:rPr>
      </w:pPr>
      <w:r>
        <w:rPr>
          <w:rFonts w:hint="eastAsia" w:ascii="仿宋_GB2312"/>
          <w:b/>
          <w:bCs/>
          <w:kern w:val="2"/>
          <w:sz w:val="32"/>
          <w:szCs w:val="32"/>
        </w:rPr>
        <w:t>教育</w:t>
      </w:r>
      <w:r>
        <w:rPr>
          <w:rFonts w:ascii="仿宋_GB2312"/>
          <w:b/>
          <w:bCs/>
          <w:kern w:val="2"/>
          <w:sz w:val="32"/>
          <w:szCs w:val="32"/>
        </w:rPr>
        <w:t>（类）</w:t>
      </w:r>
      <w:r>
        <w:rPr>
          <w:rFonts w:hint="eastAsia" w:ascii="仿宋_GB2312"/>
          <w:b/>
          <w:bCs/>
          <w:kern w:val="2"/>
          <w:sz w:val="32"/>
          <w:szCs w:val="32"/>
        </w:rPr>
        <w:t>职业教育</w:t>
      </w:r>
      <w:r>
        <w:rPr>
          <w:rFonts w:ascii="仿宋_GB2312"/>
          <w:b/>
          <w:bCs/>
          <w:kern w:val="2"/>
          <w:sz w:val="32"/>
          <w:szCs w:val="32"/>
        </w:rPr>
        <w:t>（款）</w:t>
      </w:r>
      <w:r>
        <w:rPr>
          <w:rFonts w:hint="eastAsia" w:ascii="仿宋_GB2312"/>
          <w:b/>
          <w:bCs/>
          <w:kern w:val="2"/>
          <w:sz w:val="32"/>
          <w:szCs w:val="32"/>
          <w:lang w:eastAsia="zh-CN"/>
        </w:rPr>
        <w:t>中等职业</w:t>
      </w:r>
      <w:r>
        <w:rPr>
          <w:rFonts w:hint="eastAsia" w:ascii="仿宋_GB2312"/>
          <w:b/>
          <w:bCs/>
          <w:kern w:val="2"/>
          <w:sz w:val="32"/>
          <w:szCs w:val="32"/>
        </w:rPr>
        <w:t>教育</w:t>
      </w:r>
      <w:r>
        <w:rPr>
          <w:rFonts w:ascii="仿宋_GB2312"/>
          <w:b/>
          <w:bCs/>
          <w:kern w:val="2"/>
          <w:sz w:val="32"/>
          <w:szCs w:val="32"/>
        </w:rPr>
        <w:t>（项）</w:t>
      </w:r>
      <w:r>
        <w:rPr>
          <w:rFonts w:hint="eastAsia" w:ascii="仿宋_GB2312"/>
          <w:b/>
          <w:bCs/>
          <w:kern w:val="2"/>
          <w:sz w:val="32"/>
          <w:szCs w:val="32"/>
        </w:rPr>
        <w:t>支出。</w:t>
      </w:r>
      <w:r>
        <w:rPr>
          <w:rFonts w:ascii="仿宋_GB2312" w:hAnsi="仿宋_GB2312"/>
          <w:kern w:val="2"/>
          <w:sz w:val="32"/>
          <w:szCs w:val="32"/>
        </w:rPr>
        <w:t>年初预算为</w:t>
      </w:r>
      <w:r>
        <w:rPr>
          <w:rFonts w:hint="eastAsia" w:ascii="仿宋_GB2312" w:hAnsi="仿宋_GB2312"/>
          <w:kern w:val="2"/>
          <w:sz w:val="32"/>
          <w:szCs w:val="32"/>
        </w:rPr>
        <w:t>78.05</w:t>
      </w:r>
      <w:r>
        <w:rPr>
          <w:rFonts w:ascii="仿宋_GB2312"/>
          <w:kern w:val="2"/>
          <w:sz w:val="32"/>
          <w:szCs w:val="32"/>
        </w:rPr>
        <w:t>万元，支出决算为</w:t>
      </w:r>
      <w:r>
        <w:rPr>
          <w:rFonts w:hint="eastAsia" w:ascii="仿宋_GB2312"/>
          <w:kern w:val="2"/>
          <w:sz w:val="32"/>
          <w:szCs w:val="32"/>
        </w:rPr>
        <w:t>78.05</w:t>
      </w:r>
      <w:r>
        <w:rPr>
          <w:rFonts w:ascii="仿宋_GB2312"/>
          <w:kern w:val="2"/>
          <w:sz w:val="32"/>
          <w:szCs w:val="32"/>
        </w:rPr>
        <w:t>万元，完成年初预算的</w:t>
      </w:r>
      <w:r>
        <w:rPr>
          <w:rFonts w:hint="eastAsia" w:ascii="仿宋_GB2312"/>
          <w:kern w:val="2"/>
          <w:sz w:val="32"/>
          <w:szCs w:val="32"/>
        </w:rPr>
        <w:t>100</w:t>
      </w:r>
      <w:r>
        <w:rPr>
          <w:rFonts w:ascii="仿宋_GB2312"/>
          <w:kern w:val="2"/>
          <w:sz w:val="32"/>
          <w:szCs w:val="32"/>
        </w:rPr>
        <w:t>%。决算数与年初预算数</w:t>
      </w:r>
      <w:r>
        <w:rPr>
          <w:rFonts w:hint="eastAsia" w:ascii="仿宋_GB2312"/>
          <w:kern w:val="2"/>
          <w:sz w:val="32"/>
          <w:szCs w:val="32"/>
        </w:rPr>
        <w:t>不</w:t>
      </w:r>
      <w:r>
        <w:rPr>
          <w:rFonts w:ascii="仿宋_GB2312"/>
          <w:kern w:val="2"/>
          <w:sz w:val="32"/>
          <w:szCs w:val="32"/>
        </w:rPr>
        <w:t>存在差异</w:t>
      </w:r>
      <w:r>
        <w:rPr>
          <w:rFonts w:hint="eastAsia" w:ascii="仿宋_GB2312"/>
          <w:kern w:val="2"/>
          <w:sz w:val="32"/>
          <w:szCs w:val="32"/>
        </w:rPr>
        <w:t>。</w:t>
      </w:r>
    </w:p>
    <w:p>
      <w:pPr>
        <w:pStyle w:val="4"/>
        <w:numPr>
          <w:ilvl w:val="0"/>
          <w:numId w:val="3"/>
        </w:numPr>
        <w:spacing w:before="0" w:beforeAutospacing="0" w:line="590" w:lineRule="exact"/>
        <w:ind w:firstLine="643"/>
        <w:rPr>
          <w:rFonts w:ascii="仿宋_GB2312"/>
          <w:kern w:val="2"/>
          <w:sz w:val="32"/>
          <w:szCs w:val="32"/>
        </w:rPr>
      </w:pPr>
      <w:r>
        <w:rPr>
          <w:rFonts w:hint="eastAsia" w:ascii="仿宋_GB2312"/>
          <w:b/>
          <w:bCs/>
          <w:kern w:val="2"/>
          <w:sz w:val="32"/>
          <w:szCs w:val="32"/>
        </w:rPr>
        <w:t>教育</w:t>
      </w:r>
      <w:r>
        <w:rPr>
          <w:rFonts w:ascii="仿宋_GB2312"/>
          <w:b/>
          <w:bCs/>
          <w:kern w:val="2"/>
          <w:sz w:val="32"/>
          <w:szCs w:val="32"/>
        </w:rPr>
        <w:t>（类）</w:t>
      </w:r>
      <w:r>
        <w:rPr>
          <w:rFonts w:hint="eastAsia" w:ascii="仿宋_GB2312"/>
          <w:b/>
          <w:bCs/>
          <w:kern w:val="2"/>
          <w:sz w:val="32"/>
          <w:szCs w:val="32"/>
        </w:rPr>
        <w:t>职业教育</w:t>
      </w:r>
      <w:r>
        <w:rPr>
          <w:rFonts w:ascii="仿宋_GB2312"/>
          <w:b/>
          <w:bCs/>
          <w:kern w:val="2"/>
          <w:sz w:val="32"/>
          <w:szCs w:val="32"/>
        </w:rPr>
        <w:t>（款）</w:t>
      </w:r>
      <w:r>
        <w:rPr>
          <w:rFonts w:hint="eastAsia" w:ascii="仿宋_GB2312"/>
          <w:b/>
          <w:bCs/>
          <w:kern w:val="2"/>
          <w:sz w:val="32"/>
          <w:szCs w:val="32"/>
        </w:rPr>
        <w:t>技校教育</w:t>
      </w:r>
      <w:r>
        <w:rPr>
          <w:rFonts w:ascii="仿宋_GB2312"/>
          <w:b/>
          <w:bCs/>
          <w:kern w:val="2"/>
          <w:sz w:val="32"/>
          <w:szCs w:val="32"/>
        </w:rPr>
        <w:t>（项）。</w:t>
      </w:r>
      <w:r>
        <w:rPr>
          <w:rFonts w:ascii="仿宋_GB2312" w:hAnsi="仿宋_GB2312"/>
          <w:kern w:val="2"/>
          <w:sz w:val="32"/>
          <w:szCs w:val="32"/>
        </w:rPr>
        <w:t>年初预算为</w:t>
      </w:r>
      <w:r>
        <w:rPr>
          <w:rFonts w:hint="eastAsia" w:ascii="仿宋_GB2312" w:hAnsi="仿宋_GB2312"/>
          <w:kern w:val="2"/>
          <w:sz w:val="32"/>
          <w:szCs w:val="32"/>
        </w:rPr>
        <w:t>836.86</w:t>
      </w:r>
      <w:r>
        <w:rPr>
          <w:rFonts w:ascii="仿宋_GB2312"/>
          <w:kern w:val="2"/>
          <w:sz w:val="32"/>
          <w:szCs w:val="32"/>
        </w:rPr>
        <w:t>万元，支出决算为</w:t>
      </w:r>
      <w:r>
        <w:rPr>
          <w:rFonts w:hint="eastAsia" w:ascii="仿宋_GB2312"/>
          <w:kern w:val="2"/>
          <w:sz w:val="32"/>
          <w:szCs w:val="32"/>
        </w:rPr>
        <w:t>1667.10</w:t>
      </w:r>
      <w:r>
        <w:rPr>
          <w:rFonts w:ascii="仿宋_GB2312"/>
          <w:kern w:val="2"/>
          <w:sz w:val="32"/>
          <w:szCs w:val="32"/>
        </w:rPr>
        <w:t>万元，完成年初预算的</w:t>
      </w:r>
      <w:r>
        <w:rPr>
          <w:rFonts w:hint="eastAsia" w:ascii="仿宋_GB2312"/>
          <w:kern w:val="2"/>
          <w:sz w:val="32"/>
          <w:szCs w:val="32"/>
        </w:rPr>
        <w:t>199.21</w:t>
      </w:r>
      <w:r>
        <w:rPr>
          <w:rFonts w:ascii="仿宋_GB2312"/>
          <w:kern w:val="2"/>
          <w:sz w:val="32"/>
          <w:szCs w:val="32"/>
        </w:rPr>
        <w:t>%。决算数与年初预算数存在差异的主要原因是</w:t>
      </w:r>
      <w:r>
        <w:rPr>
          <w:rFonts w:hint="eastAsia" w:ascii="仿宋_GB2312"/>
          <w:kern w:val="2"/>
          <w:sz w:val="32"/>
          <w:szCs w:val="32"/>
        </w:rPr>
        <w:t>新校区建设、人员增加、工资调整等</w:t>
      </w:r>
      <w:r>
        <w:rPr>
          <w:rFonts w:ascii="仿宋_GB2312"/>
          <w:kern w:val="2"/>
          <w:sz w:val="32"/>
          <w:szCs w:val="32"/>
        </w:rPr>
        <w:t>。</w:t>
      </w:r>
    </w:p>
    <w:p>
      <w:pPr>
        <w:pStyle w:val="4"/>
        <w:numPr>
          <w:ilvl w:val="0"/>
          <w:numId w:val="3"/>
        </w:numPr>
        <w:spacing w:before="0" w:beforeAutospacing="0" w:line="590" w:lineRule="exact"/>
        <w:ind w:firstLine="643"/>
        <w:rPr>
          <w:rFonts w:ascii="仿宋_GB2312"/>
          <w:kern w:val="2"/>
          <w:sz w:val="32"/>
          <w:szCs w:val="32"/>
        </w:rPr>
      </w:pPr>
      <w:r>
        <w:rPr>
          <w:rFonts w:hint="eastAsia" w:ascii="仿宋_GB2312"/>
          <w:b/>
          <w:bCs/>
          <w:kern w:val="2"/>
          <w:sz w:val="32"/>
          <w:szCs w:val="32"/>
        </w:rPr>
        <w:t>教育</w:t>
      </w:r>
      <w:r>
        <w:rPr>
          <w:rFonts w:ascii="仿宋_GB2312"/>
          <w:b/>
          <w:bCs/>
          <w:kern w:val="2"/>
          <w:sz w:val="32"/>
          <w:szCs w:val="32"/>
        </w:rPr>
        <w:t>（类）</w:t>
      </w:r>
      <w:r>
        <w:rPr>
          <w:rFonts w:hint="eastAsia" w:ascii="仿宋_GB2312"/>
          <w:b/>
          <w:bCs/>
          <w:kern w:val="2"/>
          <w:sz w:val="32"/>
          <w:szCs w:val="32"/>
        </w:rPr>
        <w:t>职业教育</w:t>
      </w:r>
      <w:r>
        <w:rPr>
          <w:rFonts w:ascii="仿宋_GB2312"/>
          <w:b/>
          <w:bCs/>
          <w:kern w:val="2"/>
          <w:sz w:val="32"/>
          <w:szCs w:val="32"/>
        </w:rPr>
        <w:t>（款）</w:t>
      </w:r>
      <w:r>
        <w:rPr>
          <w:rFonts w:hint="eastAsia" w:ascii="仿宋_GB2312"/>
          <w:b/>
          <w:bCs/>
          <w:kern w:val="2"/>
          <w:sz w:val="32"/>
          <w:szCs w:val="32"/>
        </w:rPr>
        <w:t>其他职业教育</w:t>
      </w:r>
      <w:r>
        <w:rPr>
          <w:rFonts w:ascii="仿宋_GB2312"/>
          <w:b/>
          <w:bCs/>
          <w:kern w:val="2"/>
          <w:sz w:val="32"/>
          <w:szCs w:val="32"/>
        </w:rPr>
        <w:t>（项）。</w:t>
      </w:r>
      <w:r>
        <w:rPr>
          <w:rFonts w:ascii="仿宋_GB2312" w:hAnsi="仿宋_GB2312"/>
          <w:kern w:val="2"/>
          <w:sz w:val="32"/>
          <w:szCs w:val="32"/>
        </w:rPr>
        <w:t>年初预算为</w:t>
      </w:r>
      <w:r>
        <w:rPr>
          <w:rFonts w:hint="eastAsia" w:ascii="仿宋_GB2312" w:hAnsi="仿宋_GB2312"/>
          <w:kern w:val="2"/>
          <w:sz w:val="32"/>
          <w:szCs w:val="32"/>
        </w:rPr>
        <w:t>80</w:t>
      </w:r>
      <w:r>
        <w:rPr>
          <w:rFonts w:ascii="仿宋_GB2312"/>
          <w:kern w:val="2"/>
          <w:sz w:val="32"/>
          <w:szCs w:val="32"/>
        </w:rPr>
        <w:t>万元，支出决算为</w:t>
      </w:r>
      <w:r>
        <w:rPr>
          <w:rFonts w:hint="eastAsia" w:ascii="仿宋_GB2312"/>
          <w:kern w:val="2"/>
          <w:sz w:val="32"/>
          <w:szCs w:val="32"/>
        </w:rPr>
        <w:t>80</w:t>
      </w:r>
      <w:r>
        <w:rPr>
          <w:rFonts w:ascii="仿宋_GB2312"/>
          <w:kern w:val="2"/>
          <w:sz w:val="32"/>
          <w:szCs w:val="32"/>
        </w:rPr>
        <w:t>万元，完成年初预算的</w:t>
      </w:r>
      <w:r>
        <w:rPr>
          <w:rFonts w:hint="eastAsia" w:ascii="仿宋_GB2312"/>
          <w:kern w:val="2"/>
          <w:sz w:val="32"/>
          <w:szCs w:val="32"/>
        </w:rPr>
        <w:t>100</w:t>
      </w:r>
      <w:r>
        <w:rPr>
          <w:rFonts w:ascii="仿宋_GB2312"/>
          <w:kern w:val="2"/>
          <w:sz w:val="32"/>
          <w:szCs w:val="32"/>
        </w:rPr>
        <w:t>%。决算数与年初预算数</w:t>
      </w:r>
      <w:r>
        <w:rPr>
          <w:rFonts w:hint="eastAsia" w:ascii="仿宋_GB2312"/>
          <w:kern w:val="2"/>
          <w:sz w:val="32"/>
          <w:szCs w:val="32"/>
        </w:rPr>
        <w:t>不</w:t>
      </w:r>
      <w:r>
        <w:rPr>
          <w:rFonts w:ascii="仿宋_GB2312"/>
          <w:kern w:val="2"/>
          <w:sz w:val="32"/>
          <w:szCs w:val="32"/>
        </w:rPr>
        <w:t>存在差异</w:t>
      </w:r>
      <w:r>
        <w:rPr>
          <w:rFonts w:hint="eastAsia" w:ascii="仿宋_GB2312"/>
          <w:kern w:val="2"/>
          <w:sz w:val="32"/>
          <w:szCs w:val="32"/>
        </w:rPr>
        <w:t>。</w:t>
      </w:r>
    </w:p>
    <w:p>
      <w:pPr>
        <w:pStyle w:val="4"/>
        <w:spacing w:before="0" w:beforeAutospacing="0" w:line="590" w:lineRule="exact"/>
        <w:ind w:firstLine="643" w:firstLineChars="200"/>
        <w:rPr>
          <w:rFonts w:ascii="仿宋_GB2312"/>
          <w:kern w:val="2"/>
          <w:sz w:val="32"/>
          <w:szCs w:val="32"/>
        </w:rPr>
      </w:pPr>
      <w:r>
        <w:rPr>
          <w:rFonts w:hint="eastAsia" w:ascii="仿宋_GB2312"/>
          <w:b/>
          <w:bCs/>
          <w:kern w:val="2"/>
          <w:sz w:val="32"/>
          <w:szCs w:val="32"/>
          <w:lang w:val="en-US" w:eastAsia="zh-CN"/>
        </w:rPr>
        <w:t>4</w:t>
      </w:r>
      <w:r>
        <w:rPr>
          <w:rFonts w:hint="eastAsia" w:ascii="仿宋_GB2312"/>
          <w:b/>
          <w:bCs/>
          <w:kern w:val="2"/>
          <w:sz w:val="32"/>
          <w:szCs w:val="32"/>
        </w:rPr>
        <w:t>.社会保障和就业</w:t>
      </w:r>
      <w:r>
        <w:rPr>
          <w:rFonts w:ascii="仿宋_GB2312"/>
          <w:b/>
          <w:bCs/>
          <w:kern w:val="2"/>
          <w:sz w:val="32"/>
          <w:szCs w:val="32"/>
        </w:rPr>
        <w:t>（类）</w:t>
      </w:r>
      <w:r>
        <w:rPr>
          <w:rFonts w:hint="eastAsia" w:ascii="仿宋_GB2312"/>
          <w:b/>
          <w:bCs/>
          <w:kern w:val="2"/>
          <w:sz w:val="32"/>
          <w:szCs w:val="32"/>
          <w:lang w:eastAsia="zh-CN"/>
        </w:rPr>
        <w:t>行政事业单位养老</w:t>
      </w:r>
      <w:r>
        <w:rPr>
          <w:rFonts w:ascii="仿宋_GB2312"/>
          <w:b/>
          <w:bCs/>
          <w:kern w:val="2"/>
          <w:sz w:val="32"/>
          <w:szCs w:val="32"/>
        </w:rPr>
        <w:t>（款）</w:t>
      </w:r>
      <w:r>
        <w:rPr>
          <w:rFonts w:hint="eastAsia" w:ascii="仿宋_GB2312"/>
          <w:b/>
          <w:bCs/>
          <w:kern w:val="2"/>
          <w:sz w:val="32"/>
          <w:szCs w:val="32"/>
          <w:lang w:eastAsia="zh-CN"/>
        </w:rPr>
        <w:t>机关事业单位基本养老保险缴费</w:t>
      </w:r>
      <w:r>
        <w:rPr>
          <w:rFonts w:ascii="仿宋_GB2312"/>
          <w:b/>
          <w:bCs/>
          <w:kern w:val="2"/>
          <w:sz w:val="32"/>
          <w:szCs w:val="32"/>
        </w:rPr>
        <w:t>（项）</w:t>
      </w:r>
      <w:r>
        <w:rPr>
          <w:rFonts w:ascii="仿宋_GB2312" w:hAnsi="仿宋_GB2312"/>
          <w:kern w:val="2"/>
          <w:sz w:val="32"/>
          <w:szCs w:val="32"/>
        </w:rPr>
        <w:t>年初预算为</w:t>
      </w:r>
      <w:r>
        <w:rPr>
          <w:rFonts w:hint="eastAsia" w:ascii="仿宋_GB2312"/>
          <w:kern w:val="2"/>
          <w:sz w:val="32"/>
          <w:szCs w:val="32"/>
        </w:rPr>
        <w:t>97.67</w:t>
      </w:r>
      <w:r>
        <w:rPr>
          <w:rFonts w:ascii="仿宋_GB2312"/>
          <w:kern w:val="2"/>
          <w:sz w:val="32"/>
          <w:szCs w:val="32"/>
        </w:rPr>
        <w:t>万元，支出决算为</w:t>
      </w:r>
      <w:r>
        <w:rPr>
          <w:rFonts w:hint="eastAsia" w:ascii="仿宋_GB2312"/>
          <w:kern w:val="2"/>
          <w:sz w:val="32"/>
          <w:szCs w:val="32"/>
        </w:rPr>
        <w:t>117.78</w:t>
      </w:r>
      <w:r>
        <w:rPr>
          <w:rFonts w:ascii="仿宋_GB2312"/>
          <w:kern w:val="2"/>
          <w:sz w:val="32"/>
          <w:szCs w:val="32"/>
        </w:rPr>
        <w:t>万元，完成年初预算的</w:t>
      </w:r>
      <w:r>
        <w:rPr>
          <w:rFonts w:hint="eastAsia" w:ascii="仿宋_GB2312"/>
          <w:kern w:val="2"/>
          <w:sz w:val="32"/>
          <w:szCs w:val="32"/>
        </w:rPr>
        <w:t>120.59</w:t>
      </w:r>
      <w:r>
        <w:rPr>
          <w:rFonts w:ascii="仿宋_GB2312"/>
          <w:kern w:val="2"/>
          <w:sz w:val="32"/>
          <w:szCs w:val="32"/>
        </w:rPr>
        <w:t>%。决算数与年初预算数存在差异的主要原因是</w:t>
      </w:r>
      <w:r>
        <w:rPr>
          <w:rFonts w:hint="eastAsia" w:ascii="仿宋_GB2312"/>
          <w:kern w:val="2"/>
          <w:sz w:val="32"/>
          <w:szCs w:val="32"/>
        </w:rPr>
        <w:t>工资增长及人员增加</w:t>
      </w:r>
      <w:r>
        <w:rPr>
          <w:rFonts w:ascii="仿宋_GB2312"/>
          <w:kern w:val="2"/>
          <w:sz w:val="32"/>
          <w:szCs w:val="32"/>
        </w:rPr>
        <w:t>。</w:t>
      </w:r>
    </w:p>
    <w:p>
      <w:pPr>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lang w:val="en-US" w:eastAsia="zh-CN"/>
        </w:rPr>
        <w:t>5</w:t>
      </w:r>
      <w:r>
        <w:rPr>
          <w:rFonts w:hint="eastAsia" w:asciiTheme="minorEastAsia" w:hAnsiTheme="minorEastAsia" w:eastAsiaTheme="minorEastAsia"/>
          <w:b/>
          <w:sz w:val="32"/>
          <w:szCs w:val="32"/>
        </w:rPr>
        <w:t>．</w:t>
      </w:r>
      <w:r>
        <w:rPr>
          <w:rFonts w:hint="eastAsia" w:ascii="仿宋_GB2312"/>
          <w:b/>
          <w:bCs/>
          <w:kern w:val="2"/>
          <w:sz w:val="32"/>
          <w:szCs w:val="32"/>
        </w:rPr>
        <w:t>社会保障和就业</w:t>
      </w:r>
      <w:r>
        <w:rPr>
          <w:rFonts w:ascii="仿宋_GB2312"/>
          <w:b/>
          <w:bCs/>
          <w:sz w:val="32"/>
          <w:szCs w:val="32"/>
        </w:rPr>
        <w:t>（类）</w:t>
      </w:r>
      <w:r>
        <w:rPr>
          <w:rFonts w:hint="eastAsia" w:ascii="仿宋_GB2312"/>
          <w:b/>
          <w:bCs/>
          <w:sz w:val="32"/>
          <w:szCs w:val="32"/>
        </w:rPr>
        <w:t>抚恤（款）死亡</w:t>
      </w:r>
      <w:r>
        <w:rPr>
          <w:rFonts w:hint="eastAsia" w:ascii="仿宋_GB2312"/>
          <w:b/>
          <w:bCs/>
          <w:sz w:val="32"/>
          <w:szCs w:val="32"/>
          <w:lang w:eastAsia="zh-CN"/>
        </w:rPr>
        <w:t>抚恤</w:t>
      </w:r>
      <w:r>
        <w:rPr>
          <w:rFonts w:hint="eastAsia" w:ascii="仿宋_GB2312"/>
          <w:b/>
          <w:bCs/>
          <w:sz w:val="32"/>
          <w:szCs w:val="32"/>
        </w:rPr>
        <w:t>（项）</w:t>
      </w:r>
      <w:r>
        <w:rPr>
          <w:rFonts w:ascii="仿宋_GB2312"/>
          <w:sz w:val="32"/>
          <w:szCs w:val="32"/>
        </w:rPr>
        <w:t>。</w:t>
      </w:r>
      <w:r>
        <w:rPr>
          <w:rFonts w:hint="eastAsia" w:asciiTheme="minorEastAsia" w:hAnsiTheme="minorEastAsia" w:eastAsiaTheme="minorEastAsia"/>
          <w:sz w:val="32"/>
          <w:szCs w:val="32"/>
        </w:rPr>
        <w:t>年初预算为4.74万元，决算数10.96万元，完成年初预算的231.22%。决算数与年初预算数存在差异的主要原因是：有去世人员。</w:t>
      </w:r>
    </w:p>
    <w:p>
      <w:pPr>
        <w:ind w:firstLine="643" w:firstLineChars="200"/>
        <w:rPr>
          <w:rFonts w:asciiTheme="minorEastAsia" w:hAnsiTheme="minorEastAsia" w:eastAsiaTheme="minorEastAsia"/>
        </w:rPr>
      </w:pPr>
      <w:r>
        <w:rPr>
          <w:rFonts w:hint="eastAsia" w:asciiTheme="minorEastAsia" w:hAnsiTheme="minorEastAsia" w:eastAsiaTheme="minorEastAsia"/>
          <w:b/>
          <w:sz w:val="32"/>
          <w:szCs w:val="32"/>
          <w:lang w:val="en-US" w:eastAsia="zh-CN"/>
        </w:rPr>
        <w:t>6</w:t>
      </w:r>
      <w:r>
        <w:rPr>
          <w:rFonts w:hint="eastAsia" w:asciiTheme="minorEastAsia" w:hAnsiTheme="minorEastAsia" w:eastAsiaTheme="minorEastAsia"/>
          <w:b/>
          <w:sz w:val="32"/>
          <w:szCs w:val="32"/>
        </w:rPr>
        <w:t>.社会保障和就业（类）其他社会保障和就业（款）其他社会保障和就业（项）支出</w:t>
      </w:r>
      <w:r>
        <w:rPr>
          <w:rFonts w:hint="eastAsia" w:asciiTheme="minorEastAsia" w:hAnsiTheme="minorEastAsia" w:eastAsiaTheme="minorEastAsia"/>
          <w:sz w:val="32"/>
          <w:szCs w:val="32"/>
        </w:rPr>
        <w:t>。年初预算为9.16万元，决算数9.16万元，完成年初预算的100%。决算数与年初预算数不存在差异。</w:t>
      </w:r>
    </w:p>
    <w:p>
      <w:pPr>
        <w:widowControl/>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lang w:val="en-US" w:eastAsia="zh-CN"/>
        </w:rPr>
        <w:t>7</w:t>
      </w:r>
      <w:r>
        <w:rPr>
          <w:rFonts w:hint="eastAsia" w:asciiTheme="minorEastAsia" w:hAnsiTheme="minorEastAsia" w:eastAsiaTheme="minorEastAsia"/>
          <w:b/>
          <w:sz w:val="32"/>
          <w:szCs w:val="32"/>
        </w:rPr>
        <w:t>.</w:t>
      </w:r>
      <w:r>
        <w:rPr>
          <w:rFonts w:hint="eastAsia" w:asciiTheme="minorEastAsia" w:hAnsiTheme="minorEastAsia" w:eastAsiaTheme="minorEastAsia"/>
          <w:b/>
          <w:sz w:val="32"/>
          <w:szCs w:val="32"/>
          <w:lang w:eastAsia="zh-CN"/>
        </w:rPr>
        <w:t>卫生健康</w:t>
      </w:r>
      <w:r>
        <w:rPr>
          <w:rFonts w:hint="eastAsia" w:asciiTheme="minorEastAsia" w:hAnsiTheme="minorEastAsia" w:eastAsiaTheme="minorEastAsia"/>
          <w:b/>
          <w:sz w:val="32"/>
          <w:szCs w:val="32"/>
        </w:rPr>
        <w:t>（类）行政事业单位医疗（款）事业单位医疗（项）支出。</w:t>
      </w:r>
      <w:r>
        <w:rPr>
          <w:rFonts w:hint="eastAsia" w:asciiTheme="minorEastAsia" w:hAnsiTheme="minorEastAsia" w:eastAsiaTheme="minorEastAsia"/>
          <w:sz w:val="32"/>
          <w:szCs w:val="32"/>
        </w:rPr>
        <w:t>年初预算为48.83万元，支出决算为48.38万元，完成年初预算的100%。决算数与年初预算数不存在差异。</w:t>
      </w:r>
    </w:p>
    <w:p>
      <w:pPr>
        <w:widowControl/>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lang w:val="en-US" w:eastAsia="zh-CN"/>
        </w:rPr>
        <w:t>8</w:t>
      </w:r>
      <w:bookmarkStart w:id="0" w:name="_GoBack"/>
      <w:bookmarkEnd w:id="0"/>
      <w:r>
        <w:rPr>
          <w:rFonts w:hint="eastAsia" w:asciiTheme="minorEastAsia" w:hAnsiTheme="minorEastAsia" w:eastAsiaTheme="minorEastAsia"/>
          <w:b/>
          <w:sz w:val="32"/>
          <w:szCs w:val="32"/>
        </w:rPr>
        <w:t>.住房保障（类）住房改革（款）住房公积金（项）支出。</w:t>
      </w:r>
      <w:r>
        <w:rPr>
          <w:rFonts w:hint="eastAsia" w:asciiTheme="minorEastAsia" w:hAnsiTheme="minorEastAsia" w:eastAsiaTheme="minorEastAsia"/>
          <w:sz w:val="32"/>
          <w:szCs w:val="32"/>
        </w:rPr>
        <w:t>年初预算为73.25万元，支出决算为73.25万元，完成年初预算的100%。决算数与年初预算数不存在差异。</w:t>
      </w:r>
    </w:p>
    <w:p/>
    <w:p>
      <w:pPr>
        <w:pStyle w:val="4"/>
        <w:spacing w:before="0" w:beforeAutospacing="0" w:line="590" w:lineRule="exact"/>
        <w:ind w:firstLine="640" w:firstLineChars="200"/>
      </w:pPr>
      <w:r>
        <w:rPr>
          <w:rFonts w:hint="eastAsia" w:ascii="黑体" w:hAnsi="黑体" w:eastAsia="黑体"/>
          <w:kern w:val="2"/>
          <w:sz w:val="32"/>
          <w:szCs w:val="32"/>
        </w:rPr>
        <w:t>六、一般公共预算财政拨款基本支出决算情况说明</w:t>
      </w:r>
    </w:p>
    <w:p>
      <w:pPr>
        <w:pStyle w:val="4"/>
        <w:spacing w:before="0" w:beforeAutospacing="0" w:line="590" w:lineRule="exact"/>
        <w:ind w:firstLine="320" w:firstLineChars="100"/>
        <w:rPr>
          <w:rFonts w:hint="eastAsia" w:ascii="仿宋_GB2312"/>
          <w:kern w:val="2"/>
          <w:sz w:val="32"/>
          <w:szCs w:val="32"/>
        </w:rPr>
      </w:pPr>
      <w:r>
        <w:rPr>
          <w:rFonts w:hint="eastAsia" w:ascii="仿宋_GB2312"/>
          <w:kern w:val="2"/>
          <w:sz w:val="32"/>
          <w:szCs w:val="32"/>
        </w:rPr>
        <w:t>2021 年度一般公共预算财政拨款基本支出2,065.01万元。其中：人员经费 1,832.84万元，主要包括：基本工资、津贴补贴、伙食补助费、绩效工资、机关事业单位基本养老保险缴 费、职业年金缴费、其他社会保障缴费、其他工资福利支出、离休费、退休费、抚恤金、生活补助、医疗费、奖励金、住房公积金、采暖补贴、物业服务补贴、其他 对个人和家庭的</w:t>
      </w:r>
      <w:r>
        <w:rPr>
          <w:rFonts w:hint="eastAsia" w:ascii="仿宋_GB2312"/>
          <w:color w:val="auto"/>
          <w:kern w:val="2"/>
          <w:sz w:val="32"/>
          <w:szCs w:val="32"/>
        </w:rPr>
        <w:t>补助支出</w:t>
      </w:r>
      <w:r>
        <w:rPr>
          <w:rFonts w:hint="eastAsia" w:ascii="仿宋_GB2312"/>
          <w:color w:val="auto"/>
          <w:kern w:val="2"/>
          <w:sz w:val="32"/>
          <w:szCs w:val="32"/>
          <w:lang w:val="en-US" w:eastAsia="zh-CN"/>
        </w:rPr>
        <w:t>等</w:t>
      </w:r>
      <w:r>
        <w:rPr>
          <w:rFonts w:hint="eastAsia" w:ascii="仿宋_GB2312"/>
          <w:kern w:val="2"/>
          <w:sz w:val="32"/>
          <w:szCs w:val="32"/>
        </w:rPr>
        <w:t>；公用经费232.17万元，主要包括：办公费、印刷费、咨询费、手续费、水 费、电费、邮电费、取暖费、物业管理费、差旅费、因公出国（境）费用、维修（护）费、租赁费、会议费、培训费、公务接待费、专用材料费、劳务费、委托业务 费、工会经费、福利费、公务用车运行维护费、其他交通费用、税金及附加费用、其他商品和服务支出、办公设备购置、专用设备购置、信息网络及软件购置更新、 其他资本性支出。</w:t>
      </w:r>
    </w:p>
    <w:p>
      <w:pPr>
        <w:pStyle w:val="4"/>
        <w:spacing w:before="0" w:beforeAutospacing="0" w:line="590" w:lineRule="exact"/>
        <w:ind w:firstLine="320" w:firstLineChars="100"/>
      </w:pPr>
      <w:r>
        <w:rPr>
          <w:rFonts w:hint="eastAsia" w:ascii="黑体" w:hAnsi="黑体" w:eastAsia="黑体"/>
          <w:kern w:val="2"/>
          <w:sz w:val="32"/>
          <w:szCs w:val="32"/>
        </w:rPr>
        <w:t>七、一般公共预算财政拨款“三公”经费支出决算情况说明</w:t>
      </w:r>
    </w:p>
    <w:p>
      <w:pPr>
        <w:pStyle w:val="4"/>
        <w:spacing w:before="0" w:beforeAutospacing="0" w:line="590" w:lineRule="exact"/>
        <w:ind w:firstLine="321" w:firstLineChars="100"/>
      </w:pPr>
      <w:r>
        <w:rPr>
          <w:rFonts w:ascii="楷体_GB2312" w:hAnsi="楷体_GB2312"/>
          <w:b/>
          <w:bCs/>
          <w:kern w:val="2"/>
          <w:sz w:val="32"/>
          <w:szCs w:val="32"/>
        </w:rPr>
        <w:t>（一）</w:t>
      </w:r>
      <w:r>
        <w:rPr>
          <w:rFonts w:ascii="楷体_GB2312"/>
          <w:b/>
          <w:bCs/>
          <w:kern w:val="2"/>
          <w:sz w:val="32"/>
          <w:szCs w:val="32"/>
        </w:rPr>
        <w:t>“三公”经费财政拨款支出决算总体情况说明。</w:t>
      </w:r>
    </w:p>
    <w:p>
      <w:pPr>
        <w:pStyle w:val="4"/>
        <w:spacing w:before="0" w:beforeAutospacing="0" w:line="590" w:lineRule="exact"/>
        <w:ind w:firstLine="640" w:firstLineChars="200"/>
      </w:pPr>
      <w:r>
        <w:rPr>
          <w:rFonts w:hint="eastAsia" w:ascii="仿宋_GB2312"/>
          <w:kern w:val="2"/>
          <w:sz w:val="32"/>
          <w:szCs w:val="32"/>
        </w:rPr>
        <w:t>2021 年度“三公”经费财政拨款支出预算为6.50万元，支出决算为 0.75万元，完成预算的11.54%。2021年度“三公”经费支出决算数与预算数存在差异的主要原因是厉行节约</w:t>
      </w:r>
      <w:r>
        <w:rPr>
          <w:rFonts w:ascii="仿宋_GB2312"/>
          <w:kern w:val="2"/>
          <w:sz w:val="32"/>
          <w:szCs w:val="32"/>
        </w:rPr>
        <w:t>。</w:t>
      </w:r>
    </w:p>
    <w:p>
      <w:pPr>
        <w:pStyle w:val="4"/>
        <w:spacing w:before="0" w:beforeAutospacing="0" w:line="590" w:lineRule="exact"/>
        <w:ind w:firstLine="321" w:firstLineChars="100"/>
      </w:pPr>
      <w:r>
        <w:rPr>
          <w:rFonts w:ascii="楷体_GB2312" w:hAnsi="楷体_GB2312"/>
          <w:b/>
          <w:bCs/>
          <w:kern w:val="2"/>
          <w:sz w:val="32"/>
          <w:szCs w:val="32"/>
        </w:rPr>
        <w:t>（二）</w:t>
      </w:r>
      <w:r>
        <w:rPr>
          <w:rFonts w:ascii="楷体_GB2312"/>
          <w:b/>
          <w:bCs/>
          <w:kern w:val="2"/>
          <w:sz w:val="32"/>
          <w:szCs w:val="32"/>
        </w:rPr>
        <w:t>“三公”经费财政拨款支出决算具体情况说明。</w:t>
      </w:r>
    </w:p>
    <w:p>
      <w:pPr>
        <w:pStyle w:val="4"/>
        <w:spacing w:before="0" w:beforeAutospacing="0" w:line="590" w:lineRule="exact"/>
        <w:ind w:firstLine="640" w:firstLineChars="200"/>
        <w:rPr>
          <w:rFonts w:hint="eastAsia" w:ascii="仿宋_GB2312"/>
          <w:kern w:val="2"/>
          <w:sz w:val="32"/>
          <w:szCs w:val="32"/>
        </w:rPr>
      </w:pPr>
      <w:r>
        <w:rPr>
          <w:rFonts w:hint="eastAsia" w:ascii="仿宋_GB2312"/>
          <w:kern w:val="2"/>
          <w:sz w:val="32"/>
          <w:szCs w:val="32"/>
        </w:rPr>
        <w:t>2021 年度“三公”经费财政拨款支出决算中，因公出国（境）费支出决算0.00万元，完成预算的 0.00%，占0.00%；公务用车购置及运行费支出决算0.75万元， 完成预算的18.75%，占 100.00%；公务接待费支出决算 0.00万元，完成预算的0.00%，占0.00%；具体情 况如下：</w:t>
      </w:r>
    </w:p>
    <w:p>
      <w:pPr>
        <w:pStyle w:val="4"/>
        <w:spacing w:before="0" w:beforeAutospacing="0" w:line="590" w:lineRule="exact"/>
        <w:ind w:firstLine="643" w:firstLineChars="200"/>
        <w:rPr>
          <w:rFonts w:ascii="仿宋_GB2312"/>
          <w:kern w:val="2"/>
          <w:sz w:val="32"/>
          <w:szCs w:val="32"/>
        </w:rPr>
      </w:pPr>
      <w:r>
        <w:rPr>
          <w:rFonts w:ascii="仿宋_GB2312"/>
          <w:b/>
          <w:bCs/>
          <w:kern w:val="2"/>
          <w:sz w:val="32"/>
          <w:szCs w:val="32"/>
        </w:rPr>
        <w:t>1．因公出国（境）费</w:t>
      </w:r>
      <w:r>
        <w:rPr>
          <w:rFonts w:ascii="仿宋_GB2312" w:hAnsi="仿宋_GB2312"/>
          <w:kern w:val="2"/>
          <w:sz w:val="32"/>
          <w:szCs w:val="32"/>
        </w:rPr>
        <w:t>预算为</w:t>
      </w:r>
      <w:r>
        <w:rPr>
          <w:rFonts w:hint="eastAsia" w:ascii="仿宋_GB2312"/>
          <w:sz w:val="32"/>
          <w:szCs w:val="32"/>
        </w:rPr>
        <w:t>0</w:t>
      </w:r>
      <w:r>
        <w:rPr>
          <w:rFonts w:ascii="仿宋_GB2312" w:hAnsi="仿宋_GB2312"/>
          <w:kern w:val="2"/>
          <w:sz w:val="32"/>
          <w:szCs w:val="32"/>
        </w:rPr>
        <w:t>万元，支出决算为</w:t>
      </w:r>
      <w:r>
        <w:rPr>
          <w:rFonts w:hint="eastAsia" w:ascii="仿宋_GB2312"/>
          <w:sz w:val="32"/>
          <w:szCs w:val="32"/>
        </w:rPr>
        <w:t>0</w:t>
      </w:r>
      <w:r>
        <w:rPr>
          <w:rFonts w:ascii="仿宋_GB2312" w:hAnsi="仿宋_GB2312"/>
          <w:kern w:val="2"/>
          <w:sz w:val="32"/>
          <w:szCs w:val="32"/>
        </w:rPr>
        <w:t>万元，完成预算的</w:t>
      </w:r>
      <w:r>
        <w:rPr>
          <w:rFonts w:hint="eastAsia" w:ascii="仿宋_GB2312"/>
          <w:sz w:val="32"/>
          <w:szCs w:val="32"/>
        </w:rPr>
        <w:t>0</w:t>
      </w:r>
      <w:r>
        <w:rPr>
          <w:rFonts w:ascii="仿宋_GB2312"/>
          <w:kern w:val="2"/>
          <w:sz w:val="32"/>
          <w:szCs w:val="32"/>
        </w:rPr>
        <w:t>%。决算数与预算数</w:t>
      </w:r>
      <w:r>
        <w:rPr>
          <w:rFonts w:hint="eastAsia" w:ascii="仿宋_GB2312"/>
          <w:kern w:val="2"/>
          <w:sz w:val="32"/>
          <w:szCs w:val="32"/>
        </w:rPr>
        <w:t>不</w:t>
      </w:r>
      <w:r>
        <w:rPr>
          <w:rFonts w:ascii="仿宋_GB2312"/>
          <w:kern w:val="2"/>
          <w:sz w:val="32"/>
          <w:szCs w:val="32"/>
        </w:rPr>
        <w:t>存在差异</w:t>
      </w:r>
      <w:r>
        <w:rPr>
          <w:rFonts w:hint="eastAsia" w:ascii="仿宋_GB2312"/>
          <w:kern w:val="2"/>
          <w:sz w:val="32"/>
          <w:szCs w:val="32"/>
        </w:rPr>
        <w:t>。</w:t>
      </w:r>
    </w:p>
    <w:p>
      <w:pPr>
        <w:pStyle w:val="4"/>
        <w:shd w:val="clear" w:color="auto" w:fill="FFFFFF"/>
        <w:spacing w:before="0" w:beforeAutospacing="0" w:after="0" w:afterAutospacing="0"/>
        <w:ind w:left="141" w:leftChars="67" w:firstLine="480" w:firstLineChars="150"/>
        <w:rPr>
          <w:rFonts w:ascii="仿宋_GB2312"/>
          <w:kern w:val="2"/>
          <w:sz w:val="32"/>
          <w:szCs w:val="32"/>
        </w:rPr>
      </w:pPr>
      <w:r>
        <w:rPr>
          <w:rFonts w:hint="eastAsia" w:ascii="仿宋_GB2312" w:hAnsi="仿宋_GB2312"/>
          <w:kern w:val="2"/>
          <w:sz w:val="32"/>
          <w:szCs w:val="32"/>
        </w:rPr>
        <w:t>因公出国（境）团组数0个，因公出国（境）人次数0人。</w:t>
      </w:r>
    </w:p>
    <w:p>
      <w:pPr>
        <w:pStyle w:val="4"/>
        <w:spacing w:before="0" w:beforeAutospacing="0" w:line="590" w:lineRule="exact"/>
        <w:ind w:firstLine="643" w:firstLineChars="200"/>
        <w:rPr>
          <w:rFonts w:hint="eastAsia" w:ascii="仿宋_GB2312" w:hAnsi="仿宋_GB2312"/>
          <w:kern w:val="2"/>
          <w:sz w:val="32"/>
          <w:szCs w:val="32"/>
        </w:rPr>
      </w:pPr>
      <w:r>
        <w:rPr>
          <w:rFonts w:ascii="仿宋_GB2312"/>
          <w:b/>
          <w:bCs/>
          <w:kern w:val="2"/>
          <w:sz w:val="32"/>
          <w:szCs w:val="32"/>
        </w:rPr>
        <w:t>2．公务用车购置及运行费</w:t>
      </w:r>
      <w:r>
        <w:rPr>
          <w:rFonts w:hint="eastAsia" w:ascii="仿宋_GB2312" w:hAnsi="仿宋_GB2312"/>
          <w:kern w:val="2"/>
          <w:sz w:val="32"/>
          <w:szCs w:val="32"/>
        </w:rPr>
        <w:t>公务用车购置及运行费年初预算为4.00万元，支出决算为 0.75万元，完成年初预算的18.75%，决算数与年初预算数存在差异的主要原因是减少公务用车出行。其中：</w:t>
      </w:r>
    </w:p>
    <w:p>
      <w:pPr>
        <w:pStyle w:val="4"/>
        <w:spacing w:before="0" w:beforeAutospacing="0" w:line="590" w:lineRule="exact"/>
        <w:ind w:firstLine="643" w:firstLineChars="200"/>
      </w:pPr>
      <w:r>
        <w:rPr>
          <w:rFonts w:ascii="仿宋_GB2312" w:hAnsi="仿宋_GB2312"/>
          <w:b/>
          <w:bCs/>
          <w:kern w:val="2"/>
          <w:sz w:val="32"/>
          <w:szCs w:val="32"/>
        </w:rPr>
        <w:t>公务用车购置支出</w:t>
      </w:r>
      <w:r>
        <w:rPr>
          <w:rFonts w:ascii="仿宋_GB2312" w:hAnsi="仿宋_GB2312"/>
          <w:kern w:val="2"/>
          <w:sz w:val="32"/>
          <w:szCs w:val="32"/>
        </w:rPr>
        <w:t>为</w:t>
      </w:r>
      <w:r>
        <w:rPr>
          <w:rFonts w:hint="eastAsia" w:ascii="仿宋_GB2312"/>
          <w:sz w:val="32"/>
          <w:szCs w:val="32"/>
        </w:rPr>
        <w:t>0</w:t>
      </w:r>
      <w:r>
        <w:rPr>
          <w:rFonts w:ascii="仿宋_GB2312" w:hAnsi="仿宋_GB2312"/>
          <w:kern w:val="2"/>
          <w:sz w:val="32"/>
          <w:szCs w:val="32"/>
        </w:rPr>
        <w:t>万元，购置车辆</w:t>
      </w:r>
      <w:r>
        <w:rPr>
          <w:rFonts w:hint="eastAsia" w:ascii="仿宋_GB2312"/>
          <w:kern w:val="2"/>
          <w:sz w:val="32"/>
          <w:szCs w:val="32"/>
        </w:rPr>
        <w:t>0</w:t>
      </w:r>
      <w:r>
        <w:rPr>
          <w:rFonts w:ascii="仿宋_GB2312"/>
          <w:kern w:val="2"/>
          <w:sz w:val="32"/>
          <w:szCs w:val="32"/>
        </w:rPr>
        <w:t>辆。</w:t>
      </w:r>
    </w:p>
    <w:p>
      <w:pPr>
        <w:pStyle w:val="4"/>
        <w:spacing w:before="0" w:beforeAutospacing="0" w:line="590" w:lineRule="exact"/>
        <w:ind w:firstLine="643" w:firstLineChars="200"/>
      </w:pPr>
      <w:r>
        <w:rPr>
          <w:rFonts w:ascii="仿宋_GB2312" w:hAnsi="仿宋_GB2312"/>
          <w:b/>
          <w:bCs/>
          <w:kern w:val="2"/>
          <w:sz w:val="32"/>
          <w:szCs w:val="32"/>
        </w:rPr>
        <w:t>公务用车运行支出</w:t>
      </w:r>
      <w:r>
        <w:rPr>
          <w:rFonts w:hint="eastAsia" w:ascii="仿宋_GB2312"/>
          <w:sz w:val="32"/>
          <w:szCs w:val="32"/>
        </w:rPr>
        <w:t>0.75万元</w:t>
      </w:r>
      <w:r>
        <w:rPr>
          <w:rFonts w:ascii="仿宋_GB2312" w:hAnsi="仿宋_GB2312"/>
          <w:kern w:val="2"/>
          <w:sz w:val="32"/>
          <w:szCs w:val="32"/>
        </w:rPr>
        <w:t>。主要用于</w:t>
      </w:r>
      <w:r>
        <w:rPr>
          <w:rFonts w:hint="eastAsia" w:ascii="仿宋_GB2312"/>
          <w:kern w:val="2"/>
          <w:sz w:val="32"/>
          <w:szCs w:val="32"/>
        </w:rPr>
        <w:t>年检、维护维修及加油</w:t>
      </w:r>
      <w:r>
        <w:rPr>
          <w:rFonts w:ascii="仿宋_GB2312"/>
          <w:kern w:val="2"/>
          <w:sz w:val="32"/>
          <w:szCs w:val="32"/>
        </w:rPr>
        <w:t>。20</w:t>
      </w:r>
      <w:r>
        <w:rPr>
          <w:rFonts w:hint="eastAsia" w:ascii="仿宋_GB2312"/>
          <w:kern w:val="2"/>
          <w:sz w:val="32"/>
          <w:szCs w:val="32"/>
        </w:rPr>
        <w:t>2</w:t>
      </w:r>
      <w:r>
        <w:rPr>
          <w:rFonts w:hint="eastAsia" w:ascii="仿宋_GB2312"/>
          <w:kern w:val="2"/>
          <w:sz w:val="32"/>
          <w:szCs w:val="32"/>
          <w:lang w:val="en-US" w:eastAsia="zh-CN"/>
        </w:rPr>
        <w:t>1</w:t>
      </w:r>
      <w:r>
        <w:rPr>
          <w:rFonts w:ascii="仿宋_GB2312"/>
          <w:kern w:val="2"/>
          <w:sz w:val="32"/>
          <w:szCs w:val="32"/>
        </w:rPr>
        <w:t>年期末，部门开支财政拨款的公务用车保有量为</w:t>
      </w:r>
      <w:r>
        <w:rPr>
          <w:rFonts w:hint="eastAsia" w:ascii="仿宋_GB2312"/>
          <w:kern w:val="2"/>
          <w:sz w:val="32"/>
          <w:szCs w:val="32"/>
        </w:rPr>
        <w:t>1</w:t>
      </w:r>
      <w:r>
        <w:rPr>
          <w:rFonts w:ascii="仿宋_GB2312"/>
          <w:kern w:val="2"/>
          <w:sz w:val="32"/>
          <w:szCs w:val="32"/>
        </w:rPr>
        <w:t>辆。</w:t>
      </w:r>
    </w:p>
    <w:p>
      <w:pPr>
        <w:pStyle w:val="4"/>
        <w:numPr>
          <w:ilvl w:val="0"/>
          <w:numId w:val="4"/>
        </w:numPr>
        <w:spacing w:before="0" w:beforeAutospacing="0" w:line="590" w:lineRule="exact"/>
        <w:ind w:firstLine="643" w:firstLineChars="200"/>
        <w:rPr>
          <w:rFonts w:ascii="仿宋_GB2312"/>
          <w:kern w:val="2"/>
          <w:sz w:val="32"/>
          <w:szCs w:val="32"/>
        </w:rPr>
      </w:pPr>
      <w:r>
        <w:rPr>
          <w:rFonts w:ascii="仿宋_GB2312"/>
          <w:b/>
          <w:bCs/>
          <w:kern w:val="2"/>
          <w:sz w:val="32"/>
          <w:szCs w:val="32"/>
        </w:rPr>
        <w:t>公务接待费</w:t>
      </w:r>
      <w:r>
        <w:rPr>
          <w:rFonts w:ascii="仿宋_GB2312" w:hAnsi="仿宋_GB2312"/>
          <w:kern w:val="2"/>
          <w:sz w:val="32"/>
          <w:szCs w:val="32"/>
        </w:rPr>
        <w:t>预算为2.50万元，支出决算为</w:t>
      </w:r>
      <w:r>
        <w:rPr>
          <w:rFonts w:hint="eastAsia" w:ascii="仿宋_GB2312"/>
          <w:sz w:val="32"/>
          <w:szCs w:val="32"/>
        </w:rPr>
        <w:t>0.00</w:t>
      </w:r>
      <w:r>
        <w:rPr>
          <w:rFonts w:ascii="仿宋_GB2312" w:hAnsi="仿宋_GB2312"/>
          <w:kern w:val="2"/>
          <w:sz w:val="32"/>
          <w:szCs w:val="32"/>
        </w:rPr>
        <w:t>万元，完成预算的</w:t>
      </w:r>
      <w:r>
        <w:rPr>
          <w:rFonts w:hint="eastAsia" w:ascii="仿宋_GB2312"/>
          <w:sz w:val="32"/>
          <w:szCs w:val="32"/>
        </w:rPr>
        <w:t>0</w:t>
      </w:r>
      <w:r>
        <w:rPr>
          <w:rFonts w:ascii="仿宋_GB2312"/>
          <w:kern w:val="2"/>
          <w:sz w:val="32"/>
          <w:szCs w:val="32"/>
        </w:rPr>
        <w:t>%。决算数与预算数存在差异</w:t>
      </w:r>
      <w:r>
        <w:rPr>
          <w:rFonts w:hint="eastAsia" w:ascii="仿宋_GB2312"/>
          <w:kern w:val="2"/>
          <w:sz w:val="32"/>
          <w:szCs w:val="32"/>
        </w:rPr>
        <w:t>的主要原因是没有接待业务。其中：</w:t>
      </w:r>
    </w:p>
    <w:p>
      <w:pPr>
        <w:pStyle w:val="4"/>
        <w:numPr>
          <w:ilvl w:val="0"/>
          <w:numId w:val="0"/>
        </w:numPr>
        <w:spacing w:before="0" w:beforeAutospacing="0" w:line="590" w:lineRule="exact"/>
        <w:ind w:firstLine="643" w:firstLineChars="200"/>
        <w:rPr>
          <w:rFonts w:hint="eastAsia" w:ascii="仿宋_GB2312"/>
          <w:kern w:val="2"/>
          <w:sz w:val="32"/>
          <w:szCs w:val="32"/>
        </w:rPr>
      </w:pPr>
      <w:r>
        <w:rPr>
          <w:rFonts w:hint="eastAsia" w:ascii="仿宋_GB2312"/>
          <w:b/>
          <w:bCs/>
          <w:kern w:val="2"/>
          <w:sz w:val="32"/>
          <w:szCs w:val="32"/>
        </w:rPr>
        <w:t>外宾接待</w:t>
      </w:r>
      <w:r>
        <w:rPr>
          <w:rFonts w:hint="eastAsia" w:ascii="仿宋_GB2312"/>
          <w:kern w:val="2"/>
          <w:sz w:val="32"/>
          <w:szCs w:val="32"/>
        </w:rPr>
        <w:t>支出0万元。</w:t>
      </w:r>
      <w:r>
        <w:rPr>
          <w:rFonts w:hint="eastAsia" w:ascii="仿宋_GB2312"/>
          <w:kern w:val="2"/>
          <w:sz w:val="32"/>
          <w:szCs w:val="32"/>
          <w:lang w:eastAsia="zh-CN"/>
        </w:rPr>
        <w:t>2021</w:t>
      </w:r>
      <w:r>
        <w:rPr>
          <w:rFonts w:hint="eastAsia" w:ascii="仿宋_GB2312"/>
          <w:kern w:val="2"/>
          <w:sz w:val="32"/>
          <w:szCs w:val="32"/>
        </w:rPr>
        <w:t>年共接待国（境）外来访组0个，来访外宾0人次（不包括陪同人员）。</w:t>
      </w:r>
    </w:p>
    <w:p>
      <w:pPr>
        <w:pStyle w:val="4"/>
        <w:numPr>
          <w:ilvl w:val="0"/>
          <w:numId w:val="0"/>
        </w:numPr>
        <w:spacing w:before="0" w:beforeAutospacing="0" w:line="590" w:lineRule="exact"/>
        <w:ind w:firstLine="643" w:firstLineChars="200"/>
        <w:rPr>
          <w:rFonts w:hint="eastAsia" w:ascii="仿宋_GB2312" w:hAnsi="宋体" w:eastAsia="宋体" w:cs="宋体"/>
          <w:kern w:val="2"/>
          <w:sz w:val="32"/>
          <w:szCs w:val="32"/>
          <w:highlight w:val="none"/>
          <w:lang w:eastAsia="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b/>
          <w:bCs/>
          <w:sz w:val="32"/>
          <w:szCs w:val="32"/>
          <w:highlight w:val="none"/>
          <w:lang w:val="en-US" w:eastAsia="zh-CN"/>
        </w:rPr>
        <w:t>0</w:t>
      </w:r>
      <w:r>
        <w:rPr>
          <w:rFonts w:hint="eastAsia" w:ascii="仿宋_GB2312" w:hAnsi="宋体" w:eastAsia="宋体" w:cs="宋体"/>
          <w:kern w:val="2"/>
          <w:sz w:val="32"/>
          <w:szCs w:val="32"/>
          <w:highlight w:val="none"/>
        </w:rPr>
        <w:t>万元。主要用于按规定开支的各类公务接待支出。2021年共接待国内来访团组</w:t>
      </w:r>
      <w:r>
        <w:rPr>
          <w:rFonts w:hint="eastAsia" w:ascii="仿宋_GB2312" w:hAnsi="宋体" w:eastAsia="宋体" w:cs="宋体"/>
          <w:kern w:val="2"/>
          <w:sz w:val="32"/>
          <w:szCs w:val="32"/>
          <w:highlight w:val="none"/>
          <w:lang w:val="en-US" w:eastAsia="zh-CN"/>
        </w:rPr>
        <w:t>0</w:t>
      </w:r>
      <w:r>
        <w:rPr>
          <w:rFonts w:hint="eastAsia" w:ascii="仿宋_GB2312" w:hAnsi="宋体" w:eastAsia="宋体" w:cs="宋体"/>
          <w:kern w:val="2"/>
          <w:sz w:val="32"/>
          <w:szCs w:val="32"/>
          <w:highlight w:val="none"/>
        </w:rPr>
        <w:t>个、来宾</w:t>
      </w:r>
      <w:r>
        <w:rPr>
          <w:rFonts w:hint="eastAsia" w:ascii="仿宋_GB2312" w:hAnsi="宋体" w:eastAsia="宋体" w:cs="宋体"/>
          <w:kern w:val="2"/>
          <w:sz w:val="32"/>
          <w:szCs w:val="32"/>
          <w:highlight w:val="none"/>
          <w:lang w:val="en-US" w:eastAsia="zh-CN"/>
        </w:rPr>
        <w:t xml:space="preserve">     0</w:t>
      </w:r>
      <w:r>
        <w:rPr>
          <w:rFonts w:hint="eastAsia" w:ascii="仿宋_GB2312" w:hAnsi="宋体" w:eastAsia="宋体" w:cs="宋体"/>
          <w:kern w:val="2"/>
          <w:sz w:val="32"/>
          <w:szCs w:val="32"/>
          <w:highlight w:val="none"/>
        </w:rPr>
        <w:t>人次（不包括陪同人员）</w:t>
      </w:r>
      <w:r>
        <w:rPr>
          <w:rFonts w:hint="eastAsia" w:ascii="仿宋_GB2312" w:hAnsi="宋体" w:eastAsia="宋体" w:cs="宋体"/>
          <w:kern w:val="2"/>
          <w:sz w:val="32"/>
          <w:szCs w:val="32"/>
          <w:highlight w:val="none"/>
          <w:lang w:eastAsia="zh-CN"/>
        </w:rPr>
        <w:t>。</w:t>
      </w:r>
    </w:p>
    <w:p>
      <w:pPr>
        <w:pStyle w:val="4"/>
        <w:spacing w:before="0" w:beforeAutospacing="0"/>
        <w:ind w:firstLine="640" w:firstLineChars="200"/>
        <w:rPr>
          <w:rFonts w:hint="eastAsia" w:ascii="黑体" w:hAnsi="黑体" w:eastAsia="黑体"/>
          <w:kern w:val="2"/>
          <w:sz w:val="32"/>
          <w:szCs w:val="32"/>
        </w:rPr>
      </w:pPr>
      <w:r>
        <w:rPr>
          <w:rFonts w:hint="eastAsia" w:ascii="黑体" w:hAnsi="黑体" w:eastAsia="黑体"/>
          <w:kern w:val="2"/>
          <w:sz w:val="32"/>
          <w:szCs w:val="32"/>
        </w:rPr>
        <w:t>八、政府性基金预算财政拨款支出决算情况说明</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line="590" w:lineRule="exact"/>
        <w:ind w:firstLine="640" w:firstLineChars="200"/>
        <w:textAlignment w:val="auto"/>
        <w:rPr>
          <w:rFonts w:hint="eastAsia" w:ascii="仿宋_GB2312"/>
          <w:kern w:val="2"/>
          <w:sz w:val="32"/>
          <w:szCs w:val="32"/>
        </w:rPr>
      </w:pPr>
      <w:r>
        <w:rPr>
          <w:rFonts w:hint="eastAsia" w:ascii="仿宋_GB2312"/>
          <w:kern w:val="2"/>
          <w:sz w:val="32"/>
          <w:szCs w:val="32"/>
        </w:rPr>
        <w:t>2021年度政府性基金预算财政拨款支出年初预算为0万元，支出决算为0万元，完成年初预算的0%。</w:t>
      </w:r>
    </w:p>
    <w:p>
      <w:pPr>
        <w:pStyle w:val="4"/>
        <w:spacing w:before="0" w:beforeAutospacing="0"/>
        <w:ind w:firstLine="640" w:firstLineChars="200"/>
      </w:pPr>
      <w:r>
        <w:rPr>
          <w:rFonts w:hint="eastAsia" w:ascii="黑体" w:hAnsi="黑体" w:eastAsia="黑体"/>
          <w:kern w:val="2"/>
          <w:sz w:val="32"/>
          <w:szCs w:val="32"/>
          <w:lang w:val="en-US" w:eastAsia="zh-CN"/>
        </w:rPr>
        <w:t>九、</w:t>
      </w:r>
      <w:r>
        <w:rPr>
          <w:rFonts w:hint="eastAsia" w:ascii="黑体" w:hAnsi="黑体" w:eastAsia="黑体"/>
          <w:kern w:val="2"/>
          <w:sz w:val="32"/>
          <w:szCs w:val="32"/>
        </w:rPr>
        <w:t>机关运行经费支出情况说明</w:t>
      </w:r>
    </w:p>
    <w:p>
      <w:pPr>
        <w:pStyle w:val="4"/>
        <w:spacing w:before="0" w:beforeAutospacing="0"/>
        <w:ind w:firstLine="640" w:firstLineChars="200"/>
        <w:rPr>
          <w:rFonts w:hint="eastAsia" w:ascii="仿宋_GB2312"/>
          <w:kern w:val="2"/>
          <w:sz w:val="32"/>
          <w:szCs w:val="32"/>
          <w:lang w:eastAsia="zh-CN"/>
        </w:rPr>
      </w:pPr>
      <w:r>
        <w:rPr>
          <w:rFonts w:hint="eastAsia" w:ascii="仿宋_GB2312"/>
          <w:kern w:val="2"/>
          <w:sz w:val="32"/>
          <w:szCs w:val="32"/>
          <w:lang w:eastAsia="zh-CN"/>
        </w:rPr>
        <w:t>我单位不是行政机关，也不是参照公务员管理事业单位，没有机关运行经费支出。</w:t>
      </w:r>
    </w:p>
    <w:p>
      <w:pPr>
        <w:pStyle w:val="4"/>
        <w:spacing w:before="0" w:beforeAutospacing="0"/>
        <w:ind w:firstLine="640" w:firstLineChars="200"/>
      </w:pPr>
      <w:r>
        <w:rPr>
          <w:rFonts w:hint="eastAsia" w:ascii="黑体" w:hAnsi="黑体" w:eastAsia="黑体"/>
          <w:kern w:val="2"/>
          <w:sz w:val="32"/>
          <w:szCs w:val="32"/>
          <w:lang w:val="en-US" w:eastAsia="zh-CN"/>
        </w:rPr>
        <w:t>十、</w:t>
      </w:r>
      <w:r>
        <w:rPr>
          <w:rFonts w:hint="eastAsia" w:ascii="黑体" w:hAnsi="黑体" w:eastAsia="黑体"/>
          <w:kern w:val="2"/>
          <w:sz w:val="32"/>
          <w:szCs w:val="32"/>
        </w:rPr>
        <w:t>政府采购支出情况说明</w:t>
      </w:r>
    </w:p>
    <w:p>
      <w:pPr>
        <w:pStyle w:val="4"/>
        <w:spacing w:before="0" w:beforeAutospacing="0"/>
        <w:ind w:firstLine="640" w:firstLineChars="200"/>
        <w:rPr>
          <w:rFonts w:ascii="仿宋_GB2312"/>
          <w:kern w:val="2"/>
          <w:sz w:val="32"/>
          <w:szCs w:val="32"/>
        </w:rPr>
      </w:pPr>
      <w:r>
        <w:rPr>
          <w:rFonts w:hint="eastAsia" w:ascii="仿宋_GB2312"/>
          <w:kern w:val="2"/>
          <w:sz w:val="32"/>
          <w:szCs w:val="32"/>
          <w:lang w:eastAsia="zh-CN"/>
        </w:rPr>
        <w:t>2021</w:t>
      </w:r>
      <w:r>
        <w:rPr>
          <w:rFonts w:ascii="仿宋_GB2312"/>
          <w:kern w:val="2"/>
          <w:sz w:val="32"/>
          <w:szCs w:val="32"/>
        </w:rPr>
        <w:t>年度政府采购支出总额</w:t>
      </w:r>
      <w:r>
        <w:rPr>
          <w:rFonts w:hint="eastAsia" w:ascii="仿宋_GB2312"/>
          <w:kern w:val="2"/>
          <w:sz w:val="32"/>
          <w:szCs w:val="32"/>
        </w:rPr>
        <w:t>0.00</w:t>
      </w:r>
      <w:r>
        <w:rPr>
          <w:rFonts w:ascii="仿宋_GB2312"/>
          <w:kern w:val="2"/>
          <w:sz w:val="32"/>
          <w:szCs w:val="32"/>
        </w:rPr>
        <w:t>万元，其中：政府采购货物支出</w:t>
      </w:r>
      <w:r>
        <w:rPr>
          <w:rFonts w:hint="eastAsia" w:ascii="仿宋_GB2312"/>
          <w:kern w:val="2"/>
          <w:sz w:val="32"/>
          <w:szCs w:val="32"/>
        </w:rPr>
        <w:t>0.00</w:t>
      </w:r>
      <w:r>
        <w:rPr>
          <w:rFonts w:ascii="仿宋_GB2312"/>
          <w:kern w:val="2"/>
          <w:sz w:val="32"/>
          <w:szCs w:val="32"/>
        </w:rPr>
        <w:t>万元、政府采购工程支出</w:t>
      </w:r>
      <w:r>
        <w:rPr>
          <w:rFonts w:hint="eastAsia" w:ascii="仿宋_GB2312"/>
          <w:kern w:val="2"/>
          <w:sz w:val="32"/>
          <w:szCs w:val="32"/>
        </w:rPr>
        <w:t>0.00</w:t>
      </w:r>
      <w:r>
        <w:rPr>
          <w:rFonts w:ascii="仿宋_GB2312"/>
          <w:kern w:val="2"/>
          <w:sz w:val="32"/>
          <w:szCs w:val="32"/>
        </w:rPr>
        <w:t>万元、政府采购服务支出</w:t>
      </w:r>
      <w:r>
        <w:rPr>
          <w:rFonts w:hint="eastAsia" w:ascii="仿宋_GB2312"/>
          <w:kern w:val="2"/>
          <w:sz w:val="32"/>
          <w:szCs w:val="32"/>
        </w:rPr>
        <w:t>0.00</w:t>
      </w:r>
      <w:r>
        <w:rPr>
          <w:rFonts w:ascii="仿宋_GB2312"/>
          <w:kern w:val="2"/>
          <w:sz w:val="32"/>
          <w:szCs w:val="32"/>
        </w:rPr>
        <w:t>万元。授予中小企业合同金额</w:t>
      </w:r>
      <w:r>
        <w:rPr>
          <w:rFonts w:hint="eastAsia" w:ascii="仿宋_GB2312"/>
          <w:kern w:val="2"/>
          <w:sz w:val="32"/>
          <w:szCs w:val="32"/>
        </w:rPr>
        <w:t>0.00</w:t>
      </w:r>
      <w:r>
        <w:rPr>
          <w:rFonts w:ascii="仿宋_GB2312"/>
          <w:kern w:val="2"/>
          <w:sz w:val="32"/>
          <w:szCs w:val="32"/>
        </w:rPr>
        <w:t>万元，占政府采购支出总额的</w:t>
      </w:r>
      <w:r>
        <w:rPr>
          <w:rFonts w:hint="eastAsia" w:ascii="仿宋_GB2312"/>
          <w:kern w:val="2"/>
          <w:sz w:val="32"/>
          <w:szCs w:val="32"/>
        </w:rPr>
        <w:t>0.00</w:t>
      </w:r>
      <w:r>
        <w:rPr>
          <w:rFonts w:ascii="仿宋_GB2312"/>
          <w:kern w:val="2"/>
          <w:sz w:val="32"/>
          <w:szCs w:val="32"/>
        </w:rPr>
        <w:t>%，其中：授予小微企业合同金额</w:t>
      </w:r>
      <w:r>
        <w:rPr>
          <w:rFonts w:hint="eastAsia" w:ascii="仿宋_GB2312"/>
          <w:kern w:val="2"/>
          <w:sz w:val="32"/>
          <w:szCs w:val="32"/>
        </w:rPr>
        <w:t>0.00</w:t>
      </w:r>
      <w:r>
        <w:rPr>
          <w:rFonts w:ascii="仿宋_GB2312"/>
          <w:kern w:val="2"/>
          <w:sz w:val="32"/>
          <w:szCs w:val="32"/>
        </w:rPr>
        <w:t>万元，占政府采购支出总额的</w:t>
      </w:r>
      <w:r>
        <w:rPr>
          <w:rFonts w:hint="eastAsia" w:ascii="仿宋_GB2312"/>
          <w:sz w:val="32"/>
          <w:szCs w:val="32"/>
        </w:rPr>
        <w:t>0.00</w:t>
      </w:r>
      <w:r>
        <w:rPr>
          <w:rFonts w:ascii="仿宋_GB2312"/>
          <w:kern w:val="2"/>
          <w:sz w:val="32"/>
          <w:szCs w:val="32"/>
        </w:rPr>
        <w:t>%。</w:t>
      </w:r>
    </w:p>
    <w:p>
      <w:pPr>
        <w:spacing w:line="590" w:lineRule="exact"/>
        <w:ind w:firstLine="640" w:firstLineChars="200"/>
        <w:outlineLvl w:val="1"/>
        <w:rPr>
          <w:rFonts w:ascii="黑体" w:hAnsi="黑体" w:eastAsia="黑体"/>
          <w:sz w:val="32"/>
          <w:szCs w:val="32"/>
        </w:rPr>
      </w:pPr>
      <w:r>
        <w:rPr>
          <w:rFonts w:hint="eastAsia" w:ascii="黑体" w:hAnsi="黑体" w:eastAsia="黑体"/>
          <w:sz w:val="32"/>
          <w:szCs w:val="32"/>
          <w:lang w:val="en-US" w:eastAsia="zh-CN"/>
        </w:rPr>
        <w:t>十一、</w:t>
      </w:r>
      <w:r>
        <w:rPr>
          <w:rFonts w:hint="eastAsia" w:ascii="黑体" w:hAnsi="黑体" w:eastAsia="黑体"/>
          <w:sz w:val="32"/>
          <w:szCs w:val="32"/>
        </w:rPr>
        <w:t>国有资产占用情况说明</w:t>
      </w:r>
    </w:p>
    <w:p>
      <w:pPr>
        <w:widowControl/>
        <w:spacing w:line="590" w:lineRule="exact"/>
        <w:ind w:firstLine="640" w:firstLineChars="200"/>
        <w:rPr>
          <w:rFonts w:ascii="仿宋_GB2312" w:hAnsi="仿宋_GB2312"/>
          <w:sz w:val="32"/>
          <w:szCs w:val="32"/>
        </w:rPr>
      </w:pPr>
      <w:r>
        <w:rPr>
          <w:rFonts w:hint="eastAsia" w:ascii="仿宋_GB2312" w:hAnsi="仿宋_GB2312"/>
          <w:sz w:val="32"/>
          <w:szCs w:val="32"/>
          <w:lang w:eastAsia="zh-CN"/>
        </w:rPr>
        <w:t>2021</w:t>
      </w:r>
      <w:r>
        <w:rPr>
          <w:rFonts w:ascii="仿宋_GB2312" w:hAnsi="仿宋_GB2312"/>
          <w:sz w:val="32"/>
          <w:szCs w:val="32"/>
        </w:rPr>
        <w:t>年期末，我部门共有车辆</w:t>
      </w:r>
      <w:r>
        <w:rPr>
          <w:rFonts w:hint="eastAsia" w:ascii="仿宋_GB2312" w:hAnsi="仿宋_GB2312"/>
          <w:sz w:val="32"/>
          <w:szCs w:val="32"/>
        </w:rPr>
        <w:t>2</w:t>
      </w:r>
      <w:r>
        <w:rPr>
          <w:rFonts w:ascii="仿宋_GB2312" w:hAnsi="仿宋_GB2312"/>
          <w:sz w:val="32"/>
          <w:szCs w:val="32"/>
        </w:rPr>
        <w:t>辆，其中：省级领导干部用车</w:t>
      </w:r>
      <w:r>
        <w:rPr>
          <w:rFonts w:hint="eastAsia" w:ascii="仿宋_GB2312" w:hAnsi="仿宋_GB2312"/>
          <w:sz w:val="32"/>
          <w:szCs w:val="32"/>
        </w:rPr>
        <w:t>0</w:t>
      </w:r>
      <w:r>
        <w:rPr>
          <w:rFonts w:ascii="仿宋_GB2312" w:hAnsi="仿宋_GB2312"/>
          <w:sz w:val="32"/>
          <w:szCs w:val="32"/>
        </w:rPr>
        <w:t>辆、主要领导干部用车</w:t>
      </w:r>
      <w:r>
        <w:rPr>
          <w:rFonts w:hint="eastAsia" w:ascii="仿宋_GB2312" w:hAnsi="仿宋_GB2312"/>
          <w:sz w:val="32"/>
          <w:szCs w:val="32"/>
        </w:rPr>
        <w:t>0</w:t>
      </w:r>
      <w:r>
        <w:rPr>
          <w:rFonts w:ascii="仿宋_GB2312" w:hAnsi="仿宋_GB2312"/>
          <w:sz w:val="32"/>
          <w:szCs w:val="32"/>
        </w:rPr>
        <w:t>辆、机要通信用车</w:t>
      </w:r>
      <w:r>
        <w:rPr>
          <w:rFonts w:hint="eastAsia" w:ascii="仿宋_GB2312" w:hAnsi="仿宋_GB2312"/>
          <w:sz w:val="32"/>
          <w:szCs w:val="32"/>
        </w:rPr>
        <w:t>0</w:t>
      </w:r>
      <w:r>
        <w:rPr>
          <w:rFonts w:ascii="仿宋_GB2312" w:hAnsi="仿宋_GB2312"/>
          <w:sz w:val="32"/>
          <w:szCs w:val="32"/>
        </w:rPr>
        <w:t>辆、应急保障车</w:t>
      </w:r>
      <w:r>
        <w:rPr>
          <w:rFonts w:hint="eastAsia" w:ascii="仿宋_GB2312" w:hAnsi="仿宋_GB2312"/>
          <w:sz w:val="32"/>
          <w:szCs w:val="32"/>
        </w:rPr>
        <w:t>0</w:t>
      </w:r>
      <w:r>
        <w:rPr>
          <w:rFonts w:ascii="仿宋_GB2312" w:hAnsi="仿宋_GB2312"/>
          <w:sz w:val="32"/>
          <w:szCs w:val="32"/>
        </w:rPr>
        <w:t>辆、执法执勤用车</w:t>
      </w:r>
      <w:r>
        <w:rPr>
          <w:rFonts w:hint="eastAsia" w:ascii="仿宋_GB2312" w:hAnsi="仿宋_GB2312"/>
          <w:sz w:val="32"/>
          <w:szCs w:val="32"/>
        </w:rPr>
        <w:t>0</w:t>
      </w:r>
      <w:r>
        <w:rPr>
          <w:rFonts w:ascii="仿宋_GB2312" w:hAnsi="仿宋_GB2312"/>
          <w:sz w:val="32"/>
          <w:szCs w:val="32"/>
        </w:rPr>
        <w:t>辆、特种专业技术用车</w:t>
      </w:r>
      <w:r>
        <w:rPr>
          <w:rFonts w:hint="eastAsia" w:ascii="仿宋_GB2312" w:hAnsi="仿宋_GB2312"/>
          <w:sz w:val="32"/>
          <w:szCs w:val="32"/>
        </w:rPr>
        <w:t>0</w:t>
      </w:r>
      <w:r>
        <w:rPr>
          <w:rFonts w:ascii="仿宋_GB2312" w:hAnsi="仿宋_GB2312"/>
          <w:sz w:val="32"/>
          <w:szCs w:val="32"/>
        </w:rPr>
        <w:t>辆、离退休干部用车</w:t>
      </w:r>
      <w:r>
        <w:rPr>
          <w:rFonts w:hint="eastAsia" w:ascii="仿宋_GB2312" w:hAnsi="仿宋_GB2312"/>
          <w:sz w:val="32"/>
          <w:szCs w:val="32"/>
        </w:rPr>
        <w:t>0</w:t>
      </w:r>
      <w:r>
        <w:rPr>
          <w:rFonts w:ascii="仿宋_GB2312" w:hAnsi="仿宋_GB2312"/>
          <w:sz w:val="32"/>
          <w:szCs w:val="32"/>
        </w:rPr>
        <w:t>辆、其他用车</w:t>
      </w:r>
      <w:r>
        <w:rPr>
          <w:rFonts w:hint="eastAsia" w:ascii="仿宋_GB2312" w:hAnsi="仿宋_GB2312"/>
          <w:sz w:val="32"/>
          <w:szCs w:val="32"/>
        </w:rPr>
        <w:t>2</w:t>
      </w:r>
      <w:r>
        <w:rPr>
          <w:rFonts w:ascii="仿宋_GB2312" w:hAnsi="仿宋_GB2312"/>
          <w:sz w:val="32"/>
          <w:szCs w:val="32"/>
        </w:rPr>
        <w:t>辆；单位价值50万元以上通用设备</w:t>
      </w:r>
      <w:r>
        <w:rPr>
          <w:rFonts w:hint="eastAsia" w:ascii="仿宋_GB2312" w:hAnsi="仿宋_GB2312"/>
          <w:sz w:val="32"/>
          <w:szCs w:val="32"/>
        </w:rPr>
        <w:t>0</w:t>
      </w:r>
      <w:r>
        <w:rPr>
          <w:rFonts w:ascii="仿宋_GB2312" w:hAnsi="仿宋_GB2312"/>
          <w:sz w:val="32"/>
          <w:szCs w:val="32"/>
        </w:rPr>
        <w:t>台（套），单位价值1</w:t>
      </w:r>
      <w:r>
        <w:rPr>
          <w:rFonts w:hint="eastAsia" w:ascii="仿宋_GB2312" w:hAnsi="仿宋_GB2312"/>
          <w:sz w:val="32"/>
          <w:szCs w:val="32"/>
        </w:rPr>
        <w:t>00</w:t>
      </w:r>
      <w:r>
        <w:rPr>
          <w:rFonts w:ascii="仿宋_GB2312" w:hAnsi="仿宋_GB2312"/>
          <w:sz w:val="32"/>
          <w:szCs w:val="32"/>
        </w:rPr>
        <w:t>万元以上专用设备</w:t>
      </w:r>
      <w:r>
        <w:rPr>
          <w:rFonts w:hint="eastAsia" w:ascii="仿宋_GB2312" w:hAnsi="仿宋_GB2312"/>
          <w:sz w:val="32"/>
          <w:szCs w:val="32"/>
        </w:rPr>
        <w:t>0</w:t>
      </w:r>
      <w:r>
        <w:rPr>
          <w:rFonts w:ascii="仿宋_GB2312" w:hAnsi="仿宋_GB2312"/>
          <w:sz w:val="32"/>
          <w:szCs w:val="32"/>
        </w:rPr>
        <w:t>台（套）。</w:t>
      </w:r>
    </w:p>
    <w:p>
      <w:pPr>
        <w:widowControl/>
        <w:spacing w:line="590" w:lineRule="exact"/>
        <w:ind w:firstLine="640" w:firstLineChars="200"/>
        <w:rPr>
          <w:rFonts w:ascii="仿宋_GB2312" w:hAnsi="仿宋_GB2312"/>
          <w:sz w:val="32"/>
          <w:szCs w:val="32"/>
        </w:rPr>
      </w:pPr>
    </w:p>
    <w:p>
      <w:pPr>
        <w:widowControl/>
        <w:jc w:val="left"/>
      </w:pPr>
      <w:r>
        <w:rPr>
          <w:rFonts w:hint="eastAsia" w:ascii="黑体" w:hAnsi="黑体" w:eastAsia="黑体"/>
          <w:sz w:val="32"/>
          <w:szCs w:val="32"/>
        </w:rPr>
        <w:t>十二、</w:t>
      </w:r>
      <w:r>
        <w:rPr>
          <w:rFonts w:hint="eastAsia" w:ascii="黑体" w:hAnsi="黑体" w:eastAsia="黑体"/>
          <w:kern w:val="2"/>
          <w:sz w:val="32"/>
          <w:szCs w:val="32"/>
        </w:rPr>
        <w:t>预算绩效情况说明</w:t>
      </w:r>
    </w:p>
    <w:p>
      <w:pPr>
        <w:pStyle w:val="4"/>
        <w:spacing w:before="0" w:beforeAutospacing="0"/>
        <w:ind w:firstLine="643" w:firstLineChars="200"/>
      </w:pPr>
      <w:r>
        <w:rPr>
          <w:rFonts w:ascii="楷体_GB2312" w:hAnsi="楷体_GB2312"/>
          <w:b/>
          <w:bCs/>
          <w:kern w:val="2"/>
          <w:sz w:val="32"/>
          <w:szCs w:val="32"/>
        </w:rPr>
        <w:t>（一）绩效管理工作开展情况</w:t>
      </w:r>
      <w:r>
        <w:rPr>
          <w:rFonts w:hint="eastAsia"/>
          <w:shd w:val="clear" w:color="auto" w:fill="FFFFFF"/>
        </w:rPr>
        <w:t>。</w:t>
      </w:r>
    </w:p>
    <w:p>
      <w:pPr>
        <w:ind w:firstLine="640" w:firstLineChars="200"/>
        <w:rPr>
          <w:rFonts w:asciiTheme="minorEastAsia" w:hAnsiTheme="minorEastAsia" w:eastAsiaTheme="minorEastAsia"/>
        </w:rPr>
      </w:pPr>
      <w:r>
        <w:rPr>
          <w:rFonts w:hint="eastAsia" w:cs="宋体" w:asciiTheme="minorEastAsia" w:hAnsiTheme="minorEastAsia" w:eastAsiaTheme="minorEastAsia"/>
          <w:sz w:val="32"/>
          <w:szCs w:val="32"/>
          <w:lang w:eastAsia="zh-CN"/>
        </w:rPr>
        <w:t>2021</w:t>
      </w:r>
      <w:r>
        <w:rPr>
          <w:rFonts w:hint="eastAsia" w:cs="宋体" w:asciiTheme="minorEastAsia" w:hAnsiTheme="minorEastAsia" w:eastAsiaTheme="minorEastAsia"/>
          <w:sz w:val="32"/>
          <w:szCs w:val="32"/>
        </w:rPr>
        <w:t>年，我单位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spacing w:line="590" w:lineRule="exact"/>
        <w:ind w:firstLine="640" w:firstLineChars="200"/>
        <w:rPr>
          <w:rFonts w:ascii="仿宋_GB2312" w:hAnsi="仿宋_GB2312"/>
          <w:sz w:val="32"/>
          <w:szCs w:val="32"/>
        </w:rPr>
      </w:pPr>
    </w:p>
    <w:p>
      <w:pPr>
        <w:pStyle w:val="4"/>
        <w:spacing w:before="0" w:beforeAutospacing="0"/>
        <w:ind w:firstLine="643" w:firstLineChars="200"/>
        <w:rPr>
          <w:rFonts w:ascii="仿宋_GB2312"/>
          <w:kern w:val="2"/>
          <w:sz w:val="32"/>
          <w:szCs w:val="32"/>
        </w:rPr>
      </w:pPr>
      <w:r>
        <w:rPr>
          <w:rFonts w:ascii="楷体_GB2312" w:hAnsi="楷体_GB2312"/>
          <w:b/>
          <w:bCs/>
          <w:kern w:val="2"/>
          <w:sz w:val="32"/>
          <w:szCs w:val="32"/>
        </w:rPr>
        <w:t>（二）项目绩效自评结果</w:t>
      </w:r>
      <w:r>
        <w:rPr>
          <w:rFonts w:ascii="仿宋_GB2312" w:hAnsi="仿宋_GB2312"/>
          <w:kern w:val="2"/>
          <w:sz w:val="32"/>
          <w:szCs w:val="32"/>
        </w:rPr>
        <w:t>。</w:t>
      </w:r>
    </w:p>
    <w:p>
      <w:pPr>
        <w:ind w:firstLine="640" w:firstLineChars="2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1、基础工作管理。我校领导非常重视预算绩效管理工作，对该项工作给予大力支持和指导，对上级做出的批示和下发的预算批发非常的关心。在一些制度建设方面我们做的有些欠缺，有待提高和完善。2、绩效目标管理。我校严格按照上级的要求在规定的时间报送绩效目标，比如每月按时发放工资，公积金、医疗保险等按时准确发放到位，从无拖欠。3、绩效评价管理。</w:t>
      </w:r>
      <w:r>
        <w:rPr>
          <w:rFonts w:hint="eastAsia" w:cs="宋体" w:asciiTheme="minorEastAsia" w:hAnsiTheme="minorEastAsia" w:eastAsiaTheme="minorEastAsia"/>
          <w:sz w:val="32"/>
          <w:szCs w:val="32"/>
          <w:lang w:eastAsia="zh-CN"/>
        </w:rPr>
        <w:t>2021</w:t>
      </w:r>
      <w:r>
        <w:rPr>
          <w:rFonts w:hint="eastAsia" w:cs="宋体" w:asciiTheme="minorEastAsia" w:hAnsiTheme="minorEastAsia" w:eastAsiaTheme="minorEastAsia"/>
          <w:sz w:val="32"/>
          <w:szCs w:val="32"/>
        </w:rPr>
        <w:t>年我校基本支出管理的各项收入和支出都按预算的目标完成。我校财政收入有在职人员和退休人员工资及公用经费。支出时按国家规定的工资标准发放给职工。4、结果运用管理。在上级部门的领导下，我校出色的完成了</w:t>
      </w:r>
      <w:r>
        <w:rPr>
          <w:rFonts w:hint="eastAsia" w:cs="宋体" w:asciiTheme="minorEastAsia" w:hAnsiTheme="minorEastAsia" w:eastAsiaTheme="minorEastAsia"/>
          <w:sz w:val="32"/>
          <w:szCs w:val="32"/>
          <w:lang w:eastAsia="zh-CN"/>
        </w:rPr>
        <w:t>2021</w:t>
      </w:r>
      <w:r>
        <w:rPr>
          <w:rFonts w:hint="eastAsia" w:cs="宋体" w:asciiTheme="minorEastAsia" w:hAnsiTheme="minorEastAsia" w:eastAsiaTheme="minorEastAsia"/>
          <w:sz w:val="32"/>
          <w:szCs w:val="32"/>
        </w:rPr>
        <w:t>年绩效管理工作，将为下一年的工作奠定了基础，我校将一如既往，在新的一年里更上新台阶。</w:t>
      </w:r>
    </w:p>
    <w:p>
      <w:pPr>
        <w:spacing w:line="590" w:lineRule="exact"/>
        <w:ind w:firstLine="640" w:firstLineChars="200"/>
        <w:rPr>
          <w:rFonts w:ascii="仿宋_GB2312" w:hAnsi="仿宋_GB2312"/>
          <w:sz w:val="32"/>
          <w:szCs w:val="32"/>
        </w:rPr>
      </w:pPr>
    </w:p>
    <w:p>
      <w:pPr>
        <w:widowControl/>
        <w:spacing w:line="590" w:lineRule="exact"/>
        <w:ind w:firstLine="640" w:firstLineChars="200"/>
        <w:rPr>
          <w:rFonts w:ascii="仿宋_GB2312" w:hAnsi="仿宋_GB2312"/>
          <w:sz w:val="32"/>
          <w:szCs w:val="32"/>
        </w:rPr>
        <w:sectPr>
          <w:pgSz w:w="11906" w:h="16838"/>
          <w:pgMar w:top="1440" w:right="1800" w:bottom="1440" w:left="1800" w:header="720" w:footer="720" w:gutter="0"/>
          <w:cols w:space="720" w:num="1"/>
          <w:docGrid w:type="lines" w:linePitch="312" w:charSpace="0"/>
        </w:sectPr>
      </w:pPr>
    </w:p>
    <w:p>
      <w:pPr>
        <w:spacing w:line="590" w:lineRule="exact"/>
        <w:ind w:firstLine="640" w:firstLineChars="200"/>
        <w:rPr>
          <w:rFonts w:ascii="仿宋_GB2312" w:hAnsi="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sz w:val="48"/>
          <w:szCs w:val="48"/>
        </w:rPr>
      </w:pPr>
      <w:r>
        <w:rPr>
          <w:rFonts w:hint="eastAsia" w:ascii="黑体" w:hAnsi="黑体" w:eastAsia="黑体"/>
          <w:sz w:val="48"/>
          <w:szCs w:val="48"/>
        </w:rPr>
        <w:t>第三部分  名词解释</w:t>
      </w:r>
    </w:p>
    <w:p>
      <w:pPr>
        <w:jc w:val="center"/>
        <w:rPr>
          <w:rFonts w:ascii="黑体" w:hAnsi="黑体" w:eastAsia="黑体"/>
          <w:sz w:val="48"/>
          <w:szCs w:val="48"/>
        </w:rPr>
      </w:pPr>
    </w:p>
    <w:p>
      <w:pPr>
        <w:widowControl/>
        <w:jc w:val="left"/>
        <w:rPr>
          <w:rFonts w:ascii="仿宋_GB2312" w:hAnsi="仿宋_GB2312" w:cs="宋体"/>
          <w:sz w:val="32"/>
          <w:szCs w:val="32"/>
        </w:rPr>
        <w:sectPr>
          <w:pgSz w:w="11906" w:h="16838"/>
          <w:pgMar w:top="1440" w:right="1531" w:bottom="1440" w:left="1587" w:header="720" w:footer="720" w:gutter="0"/>
          <w:cols w:space="720" w:num="1"/>
          <w:docGrid w:type="lines" w:linePitch="317" w:charSpace="0"/>
        </w:sectPr>
      </w:pP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十三、商品和服务支出：单位购买商品和服务的支出。</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sz w:val="32"/>
          <w:szCs w:val="32"/>
        </w:rPr>
      </w:pPr>
      <w:r>
        <w:rPr>
          <w:rFonts w:ascii="仿宋_GB2312" w:hAnsi="仿宋_GB2312"/>
          <w:sz w:val="32"/>
          <w:szCs w:val="32"/>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ascii="仿宋_GB2312" w:hAnsi="仿宋_GB2312"/>
          <w:sz w:val="32"/>
          <w:szCs w:val="32"/>
        </w:rPr>
      </w:pPr>
      <w:r>
        <w:rPr>
          <w:rFonts w:hint="eastAsia" w:ascii="仿宋_GB2312" w:hAnsi="仿宋_GB2312"/>
          <w:sz w:val="32"/>
          <w:szCs w:val="32"/>
        </w:rPr>
        <w:t>十七、助学金：按照国家要求和标准对贫困家庭的在校生进行补助。</w:t>
      </w:r>
    </w:p>
    <w:p>
      <w:pPr>
        <w:widowControl/>
        <w:spacing w:line="590" w:lineRule="exact"/>
        <w:ind w:firstLine="640" w:firstLineChars="200"/>
        <w:jc w:val="left"/>
        <w:rPr>
          <w:rFonts w:ascii="仿宋_GB2312" w:hAnsi="仿宋_GB2312"/>
          <w:sz w:val="32"/>
          <w:szCs w:val="32"/>
        </w:rPr>
      </w:pPr>
      <w:r>
        <w:rPr>
          <w:rFonts w:hint="eastAsia" w:ascii="仿宋_GB2312" w:hAnsi="仿宋_GB2312"/>
          <w:sz w:val="32"/>
          <w:szCs w:val="32"/>
        </w:rPr>
        <w:t>十八、免学费：按照国家要求和标准对备案在校学习的学生人数，对学校给予一定的补贴。</w:t>
      </w:r>
    </w:p>
    <w:p>
      <w:pPr>
        <w:widowControl/>
        <w:spacing w:line="590" w:lineRule="exact"/>
        <w:ind w:firstLine="640" w:firstLineChars="200"/>
        <w:jc w:val="left"/>
        <w:rPr>
          <w:rFonts w:ascii="仿宋_GB2312" w:hAnsi="仿宋_GB2312"/>
          <w:sz w:val="32"/>
          <w:szCs w:val="32"/>
        </w:rPr>
      </w:pPr>
      <w:r>
        <w:rPr>
          <w:rFonts w:hint="eastAsia" w:ascii="仿宋_GB2312" w:hAnsi="仿宋_GB2312"/>
          <w:sz w:val="32"/>
          <w:szCs w:val="32"/>
        </w:rPr>
        <w:t>十九、实习材料费：学生实际操作消耗的各种原材料及元器件。</w:t>
      </w:r>
    </w:p>
    <w:p>
      <w:pPr>
        <w:widowControl/>
        <w:ind w:firstLine="640" w:firstLineChars="200"/>
        <w:jc w:val="left"/>
        <w:rPr>
          <w:rFonts w:ascii="仿宋_GB2312" w:hAnsi="仿宋_GB2312"/>
          <w:sz w:val="32"/>
          <w:szCs w:val="32"/>
        </w:rPr>
      </w:pPr>
    </w:p>
    <w:p>
      <w:pPr>
        <w:widowControl/>
        <w:ind w:firstLine="640" w:firstLineChars="200"/>
        <w:jc w:val="left"/>
        <w:rPr>
          <w:rFonts w:ascii="仿宋_GB2312" w:hAnsi="仿宋_GB2312"/>
          <w:sz w:val="32"/>
          <w:szCs w:val="32"/>
        </w:rPr>
      </w:pP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A6A8E"/>
    <w:multiLevelType w:val="singleLevel"/>
    <w:tmpl w:val="A3CA6A8E"/>
    <w:lvl w:ilvl="0" w:tentative="0">
      <w:start w:val="3"/>
      <w:numFmt w:val="decimal"/>
      <w:lvlText w:val="%1."/>
      <w:lvlJc w:val="left"/>
      <w:pPr>
        <w:tabs>
          <w:tab w:val="left" w:pos="312"/>
        </w:tabs>
      </w:pPr>
    </w:lvl>
  </w:abstractNum>
  <w:abstractNum w:abstractNumId="1">
    <w:nsid w:val="EA462FAD"/>
    <w:multiLevelType w:val="singleLevel"/>
    <w:tmpl w:val="EA462FAD"/>
    <w:lvl w:ilvl="0" w:tentative="0">
      <w:start w:val="1"/>
      <w:numFmt w:val="chineseCounting"/>
      <w:suff w:val="nothing"/>
      <w:lvlText w:val="%1、"/>
      <w:lvlJc w:val="left"/>
      <w:rPr>
        <w:rFonts w:hint="eastAsia"/>
      </w:rPr>
    </w:lvl>
  </w:abstractNum>
  <w:abstractNum w:abstractNumId="2">
    <w:nsid w:val="FFCAF5E9"/>
    <w:multiLevelType w:val="singleLevel"/>
    <w:tmpl w:val="FFCAF5E9"/>
    <w:lvl w:ilvl="0" w:tentative="0">
      <w:start w:val="1"/>
      <w:numFmt w:val="decimal"/>
      <w:lvlText w:val="%1."/>
      <w:lvlJc w:val="left"/>
      <w:pPr>
        <w:tabs>
          <w:tab w:val="left" w:pos="312"/>
        </w:tabs>
        <w:ind w:left="-13"/>
      </w:pPr>
      <w:rPr>
        <w:rFonts w:hint="default"/>
        <w:b/>
        <w:bCs/>
        <w:color w:val="auto"/>
      </w:rPr>
    </w:lvl>
  </w:abstractNum>
  <w:abstractNum w:abstractNumId="3">
    <w:nsid w:val="0C361586"/>
    <w:multiLevelType w:val="multilevel"/>
    <w:tmpl w:val="0C361586"/>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E0YzM0MzMxYmE4NWYzYjdjOWM0ZTRkOWRkNWYwMGIifQ=="/>
  </w:docVars>
  <w:rsids>
    <w:rsidRoot w:val="00172A27"/>
    <w:rsid w:val="001034CE"/>
    <w:rsid w:val="002301AD"/>
    <w:rsid w:val="002549B6"/>
    <w:rsid w:val="002C028F"/>
    <w:rsid w:val="00316C03"/>
    <w:rsid w:val="00401662"/>
    <w:rsid w:val="004738AE"/>
    <w:rsid w:val="004903D1"/>
    <w:rsid w:val="00554AFD"/>
    <w:rsid w:val="005F0483"/>
    <w:rsid w:val="005F0852"/>
    <w:rsid w:val="00616FAB"/>
    <w:rsid w:val="00624CAB"/>
    <w:rsid w:val="00664BEA"/>
    <w:rsid w:val="006B5DB7"/>
    <w:rsid w:val="00712AB5"/>
    <w:rsid w:val="007733CE"/>
    <w:rsid w:val="00780F4F"/>
    <w:rsid w:val="0089792F"/>
    <w:rsid w:val="008C23BB"/>
    <w:rsid w:val="009615CB"/>
    <w:rsid w:val="00973C00"/>
    <w:rsid w:val="009A406F"/>
    <w:rsid w:val="009B13C1"/>
    <w:rsid w:val="00B0583A"/>
    <w:rsid w:val="00B17BA9"/>
    <w:rsid w:val="00C2125C"/>
    <w:rsid w:val="00CA2AEA"/>
    <w:rsid w:val="00D70F10"/>
    <w:rsid w:val="00DE76AE"/>
    <w:rsid w:val="00E41313"/>
    <w:rsid w:val="00E761A6"/>
    <w:rsid w:val="00F30E70"/>
    <w:rsid w:val="023D293E"/>
    <w:rsid w:val="03D37A64"/>
    <w:rsid w:val="05435F18"/>
    <w:rsid w:val="07CC2A63"/>
    <w:rsid w:val="095E6402"/>
    <w:rsid w:val="0ADF0A36"/>
    <w:rsid w:val="0C9826C8"/>
    <w:rsid w:val="0CE5095A"/>
    <w:rsid w:val="0D1B3DA4"/>
    <w:rsid w:val="0DBC0BBA"/>
    <w:rsid w:val="0FAF66C6"/>
    <w:rsid w:val="110411F6"/>
    <w:rsid w:val="128675C3"/>
    <w:rsid w:val="133C3B76"/>
    <w:rsid w:val="13855EF2"/>
    <w:rsid w:val="1455699C"/>
    <w:rsid w:val="14E76076"/>
    <w:rsid w:val="174616D0"/>
    <w:rsid w:val="183576EF"/>
    <w:rsid w:val="1A5D7FC5"/>
    <w:rsid w:val="1A7322FD"/>
    <w:rsid w:val="1B6D5BEA"/>
    <w:rsid w:val="1BF8086C"/>
    <w:rsid w:val="1C5D7A0C"/>
    <w:rsid w:val="1CF00880"/>
    <w:rsid w:val="1D047589"/>
    <w:rsid w:val="1E3510CB"/>
    <w:rsid w:val="1E702AD9"/>
    <w:rsid w:val="22136C0D"/>
    <w:rsid w:val="234A39FD"/>
    <w:rsid w:val="23E16CB4"/>
    <w:rsid w:val="24B45788"/>
    <w:rsid w:val="270D202F"/>
    <w:rsid w:val="28846321"/>
    <w:rsid w:val="28C826B1"/>
    <w:rsid w:val="2B6F5C76"/>
    <w:rsid w:val="2BAD50AE"/>
    <w:rsid w:val="2D063414"/>
    <w:rsid w:val="2D617A8E"/>
    <w:rsid w:val="327B2543"/>
    <w:rsid w:val="35BC75A7"/>
    <w:rsid w:val="36D7F870"/>
    <w:rsid w:val="38010CCA"/>
    <w:rsid w:val="3CBF05F1"/>
    <w:rsid w:val="3D223A74"/>
    <w:rsid w:val="3D6F6EE2"/>
    <w:rsid w:val="3DE337F6"/>
    <w:rsid w:val="3EC11C25"/>
    <w:rsid w:val="3FCC5302"/>
    <w:rsid w:val="41883525"/>
    <w:rsid w:val="42E43502"/>
    <w:rsid w:val="43D872DC"/>
    <w:rsid w:val="44A83796"/>
    <w:rsid w:val="45CD4FEE"/>
    <w:rsid w:val="46B1320F"/>
    <w:rsid w:val="46DF480F"/>
    <w:rsid w:val="4B123A37"/>
    <w:rsid w:val="4DEA6FEE"/>
    <w:rsid w:val="4E446B89"/>
    <w:rsid w:val="4F181F3A"/>
    <w:rsid w:val="4F363F69"/>
    <w:rsid w:val="56FE67C0"/>
    <w:rsid w:val="5A6A1FD0"/>
    <w:rsid w:val="5FD41360"/>
    <w:rsid w:val="5FFA6594"/>
    <w:rsid w:val="65836A2A"/>
    <w:rsid w:val="6A246A40"/>
    <w:rsid w:val="6AC43745"/>
    <w:rsid w:val="6BBF9B41"/>
    <w:rsid w:val="6CF7043C"/>
    <w:rsid w:val="6F1057E5"/>
    <w:rsid w:val="6F5675E9"/>
    <w:rsid w:val="71A62431"/>
    <w:rsid w:val="7264527A"/>
    <w:rsid w:val="73BF77DA"/>
    <w:rsid w:val="77656424"/>
    <w:rsid w:val="7A1C60C1"/>
    <w:rsid w:val="7C0950F5"/>
    <w:rsid w:val="7C107558"/>
    <w:rsid w:val="7EB77C31"/>
    <w:rsid w:val="7F527C6C"/>
    <w:rsid w:val="7FFF5615"/>
    <w:rsid w:val="CF1F3032"/>
    <w:rsid w:val="DF8F85DD"/>
    <w:rsid w:val="F7DEA6BD"/>
    <w:rsid w:val="FFEB95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character" w:customStyle="1" w:styleId="9">
    <w:name w:val="font11"/>
    <w:qFormat/>
    <w:uiPriority w:val="0"/>
    <w:rPr>
      <w:rFonts w:hint="eastAsia" w:ascii="宋体" w:hAnsi="宋体" w:eastAsia="宋体" w:cs="宋体"/>
      <w:color w:val="000000"/>
      <w:sz w:val="20"/>
      <w:szCs w:val="20"/>
      <w:u w:val="none"/>
    </w:rPr>
  </w:style>
  <w:style w:type="character" w:customStyle="1" w:styleId="10">
    <w:name w:val="font01"/>
    <w:qFormat/>
    <w:uiPriority w:val="0"/>
    <w:rPr>
      <w:rFonts w:hint="eastAsia" w:ascii="宋体" w:hAnsi="宋体" w:eastAsia="宋体" w:cs="宋体"/>
      <w:color w:val="000000"/>
      <w:sz w:val="22"/>
      <w:szCs w:val="22"/>
      <w:u w:val="none"/>
    </w:rPr>
  </w:style>
  <w:style w:type="character" w:customStyle="1" w:styleId="11">
    <w:name w:val="font51"/>
    <w:qFormat/>
    <w:uiPriority w:val="0"/>
    <w:rPr>
      <w:rFonts w:hint="eastAsia" w:ascii="宋体" w:hAnsi="宋体" w:eastAsia="宋体" w:cs="宋体"/>
      <w:color w:val="000000"/>
      <w:sz w:val="24"/>
      <w:szCs w:val="24"/>
      <w:u w:val="none"/>
    </w:rPr>
  </w:style>
  <w:style w:type="character" w:customStyle="1" w:styleId="12">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8799</Words>
  <Characters>11828</Characters>
  <Lines>44</Lines>
  <Paragraphs>12</Paragraphs>
  <TotalTime>3</TotalTime>
  <ScaleCrop>false</ScaleCrop>
  <LinksUpToDate>false</LinksUpToDate>
  <CharactersWithSpaces>12172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2020-09-23T23:20:00Z</dcterms:created>
  <dc:creator>Administrator</dc:creator>
  <cp:lastModifiedBy>微信用户</cp:lastModifiedBy>
  <dcterms:modified xsi:type="dcterms:W3CDTF">2022-10-18T06:52:14Z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56899C86244242449F797EC0D61FD0E8</vt:lpwstr>
  </property>
</Properties>
</file>