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right="0" w:rightChars="0" w:firstLine="2360" w:firstLineChars="500"/>
        <w:jc w:val="both"/>
        <w:rPr>
          <w:rFonts w:hint="eastAsia" w:ascii="黑体" w:hAnsi="黑体" w:eastAsia="黑体" w:cs="黑体"/>
          <w:color w:val="auto"/>
          <w:spacing w:val="-4"/>
          <w:sz w:val="48"/>
          <w:szCs w:val="48"/>
        </w:rPr>
      </w:pPr>
      <w:bookmarkStart w:id="0" w:name="_Toc11376"/>
      <w:r>
        <w:rPr>
          <w:rFonts w:hint="eastAsia" w:ascii="黑体" w:hAnsi="黑体" w:eastAsia="黑体" w:cs="黑体"/>
          <w:color w:val="auto"/>
          <w:spacing w:val="-4"/>
          <w:sz w:val="48"/>
          <w:szCs w:val="48"/>
        </w:rPr>
        <w:t>信阳市城市管理局</w:t>
      </w:r>
    </w:p>
    <w:p>
      <w:pPr>
        <w:spacing w:before="0" w:beforeLines="0" w:after="0" w:afterLines="0" w:line="240" w:lineRule="auto"/>
        <w:ind w:left="0" w:leftChars="0" w:right="0" w:rightChars="0" w:firstLine="0" w:firstLineChars="0"/>
        <w:jc w:val="center"/>
        <w:rPr>
          <w:rFonts w:hint="eastAsia" w:ascii="黑体" w:hAnsi="黑体" w:eastAsia="黑体" w:cs="黑体"/>
          <w:color w:val="auto"/>
          <w:spacing w:val="-4"/>
          <w:sz w:val="48"/>
          <w:szCs w:val="48"/>
        </w:rPr>
      </w:pPr>
      <w:r>
        <w:rPr>
          <w:rFonts w:hint="eastAsia" w:ascii="黑体" w:hAnsi="黑体" w:eastAsia="黑体" w:cs="黑体"/>
          <w:color w:val="auto"/>
          <w:spacing w:val="-4"/>
          <w:sz w:val="48"/>
          <w:szCs w:val="48"/>
        </w:rPr>
        <w:t>2021年度二次垃圾转运站运行经费项目</w:t>
      </w:r>
    </w:p>
    <w:p>
      <w:pPr>
        <w:spacing w:before="0" w:beforeLines="0" w:after="0" w:afterLines="0" w:line="240" w:lineRule="auto"/>
        <w:ind w:left="0" w:leftChars="0" w:right="0" w:rightChars="0" w:firstLine="0" w:firstLineChars="0"/>
        <w:jc w:val="center"/>
        <w:rPr>
          <w:rFonts w:hint="eastAsia"/>
          <w:b/>
          <w:bCs/>
          <w:sz w:val="48"/>
          <w:szCs w:val="48"/>
          <w:highlight w:val="none"/>
          <w:lang w:val="en-US" w:eastAsia="zh-CN"/>
        </w:rPr>
      </w:pPr>
      <w:r>
        <w:rPr>
          <w:rFonts w:hint="eastAsia" w:ascii="黑体" w:hAnsi="黑体" w:eastAsia="黑体" w:cs="黑体"/>
          <w:color w:val="auto"/>
          <w:spacing w:val="-4"/>
          <w:sz w:val="48"/>
          <w:szCs w:val="48"/>
        </w:rPr>
        <w:t>绩效评价</w:t>
      </w:r>
      <w:r>
        <w:rPr>
          <w:rFonts w:hint="eastAsia" w:ascii="黑体" w:hAnsi="黑体" w:eastAsia="黑体" w:cs="黑体"/>
          <w:color w:val="auto"/>
          <w:spacing w:val="-4"/>
          <w:sz w:val="48"/>
          <w:szCs w:val="48"/>
          <w:lang w:val="en-US" w:eastAsia="zh-CN"/>
        </w:rPr>
        <w:t>报告</w:t>
      </w:r>
    </w:p>
    <w:bookmarkEnd w:id="0"/>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rPr>
          <w:rFonts w:hint="eastAsia" w:ascii="仿宋" w:hAnsi="仿宋" w:eastAsia="仿宋" w:cs="仿宋"/>
          <w:color w:val="auto"/>
          <w:spacing w:val="-9"/>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rPr>
          <w:rStyle w:val="13"/>
          <w:rFonts w:hint="eastAsia" w:ascii="仿宋" w:hAnsi="仿宋" w:eastAsia="仿宋" w:cs="仿宋"/>
          <w:i w:val="0"/>
          <w:iCs w:val="0"/>
          <w:caps w:val="0"/>
          <w:color w:val="4C4C4C"/>
          <w:spacing w:val="0"/>
          <w:sz w:val="32"/>
          <w:szCs w:val="32"/>
          <w:shd w:val="clear" w:fill="FFFFFF"/>
        </w:rPr>
      </w:pPr>
      <w:bookmarkStart w:id="32" w:name="_GoBack"/>
      <w:bookmarkEnd w:id="32"/>
      <w:r>
        <w:rPr>
          <w:rFonts w:hint="eastAsia" w:ascii="仿宋" w:hAnsi="仿宋" w:eastAsia="仿宋" w:cs="仿宋"/>
          <w:color w:val="auto"/>
          <w:spacing w:val="-9"/>
          <w:sz w:val="32"/>
          <w:szCs w:val="32"/>
        </w:rPr>
        <w:t>为</w:t>
      </w:r>
      <w:r>
        <w:rPr>
          <w:rFonts w:hint="eastAsia" w:ascii="仿宋" w:hAnsi="仿宋" w:eastAsia="仿宋" w:cs="仿宋"/>
          <w:color w:val="auto"/>
          <w:spacing w:val="-9"/>
          <w:sz w:val="32"/>
          <w:szCs w:val="32"/>
          <w:lang w:val="en-US" w:eastAsia="zh-CN"/>
        </w:rPr>
        <w:t>进一步</w:t>
      </w:r>
      <w:r>
        <w:rPr>
          <w:rFonts w:hint="eastAsia" w:ascii="仿宋" w:hAnsi="仿宋" w:eastAsia="仿宋" w:cs="仿宋"/>
          <w:color w:val="auto"/>
          <w:spacing w:val="-9"/>
          <w:sz w:val="32"/>
          <w:szCs w:val="32"/>
        </w:rPr>
        <w:t>加强财政预算资金编制的科学化、</w:t>
      </w:r>
      <w:r>
        <w:rPr>
          <w:rFonts w:hint="eastAsia" w:ascii="仿宋" w:hAnsi="仿宋" w:eastAsia="仿宋" w:cs="仿宋"/>
          <w:color w:val="auto"/>
          <w:spacing w:val="-9"/>
          <w:sz w:val="32"/>
          <w:szCs w:val="32"/>
          <w:lang w:val="en-US" w:eastAsia="zh-CN"/>
        </w:rPr>
        <w:t>规范</w:t>
      </w:r>
      <w:r>
        <w:rPr>
          <w:rFonts w:hint="eastAsia" w:ascii="仿宋" w:hAnsi="仿宋" w:eastAsia="仿宋" w:cs="仿宋"/>
          <w:color w:val="auto"/>
          <w:spacing w:val="-9"/>
          <w:sz w:val="32"/>
          <w:szCs w:val="32"/>
        </w:rPr>
        <w:t>化，提高预算资金分配决策的科学性、公开性、公正性，切实做好</w:t>
      </w:r>
      <w:r>
        <w:rPr>
          <w:rFonts w:hint="eastAsia" w:ascii="仿宋" w:hAnsi="仿宋" w:eastAsia="仿宋" w:cs="仿宋"/>
          <w:color w:val="auto"/>
          <w:spacing w:val="-9"/>
          <w:sz w:val="32"/>
          <w:szCs w:val="32"/>
          <w:lang w:val="en-US" w:eastAsia="zh-CN"/>
        </w:rPr>
        <w:t>信阳市2021</w:t>
      </w:r>
      <w:r>
        <w:rPr>
          <w:rFonts w:hint="eastAsia" w:ascii="仿宋" w:hAnsi="仿宋" w:eastAsia="仿宋" w:cs="仿宋"/>
          <w:color w:val="auto"/>
          <w:spacing w:val="-9"/>
          <w:sz w:val="32"/>
          <w:szCs w:val="32"/>
        </w:rPr>
        <w:t>年度的重点项目绩效评价工作，根据《中华人民共和国预算法》、《财政部关于印发&lt;中央对地方专项转移支付绩效目标管理办法&gt;的通知》（财预〔2015〕163号）、</w:t>
      </w:r>
      <w:r>
        <w:rPr>
          <w:rFonts w:hint="eastAsia" w:ascii="仿宋" w:hAnsi="仿宋" w:eastAsia="仿宋" w:cs="仿宋"/>
          <w:color w:val="auto"/>
          <w:spacing w:val="-9"/>
          <w:sz w:val="32"/>
          <w:szCs w:val="32"/>
          <w:lang w:val="en-US" w:eastAsia="zh-CN"/>
        </w:rPr>
        <w:t>全面</w:t>
      </w:r>
      <w:r>
        <w:rPr>
          <w:rFonts w:hint="eastAsia" w:ascii="仿宋" w:hAnsi="仿宋" w:eastAsia="仿宋" w:cs="仿宋"/>
          <w:color w:val="auto"/>
          <w:spacing w:val="-9"/>
          <w:sz w:val="32"/>
          <w:szCs w:val="32"/>
        </w:rPr>
        <w:t>贯彻落实《中共河南省委河南省人民政府关于全面实施预算绩效管理的实施意见》（豫发〔2019〕10号）</w:t>
      </w:r>
      <w:r>
        <w:rPr>
          <w:rFonts w:hint="eastAsia" w:ascii="仿宋" w:hAnsi="仿宋" w:eastAsia="仿宋" w:cs="仿宋"/>
          <w:color w:val="auto"/>
          <w:spacing w:val="-9"/>
          <w:sz w:val="32"/>
          <w:szCs w:val="32"/>
          <w:lang w:val="en-US" w:eastAsia="zh-CN"/>
        </w:rPr>
        <w:t>有关</w:t>
      </w:r>
      <w:r>
        <w:rPr>
          <w:rFonts w:hint="eastAsia" w:ascii="仿宋" w:hAnsi="仿宋" w:eastAsia="仿宋" w:cs="仿宋"/>
          <w:color w:val="auto"/>
          <w:spacing w:val="-9"/>
          <w:sz w:val="32"/>
          <w:szCs w:val="32"/>
        </w:rPr>
        <w:t>要求，信阳市财政局委托河南玉川联合会计师事务所（普通合伙）</w:t>
      </w:r>
      <w:r>
        <w:rPr>
          <w:rFonts w:hint="eastAsia" w:ascii="仿宋" w:hAnsi="仿宋" w:eastAsia="仿宋" w:cs="仿宋"/>
          <w:color w:val="auto"/>
          <w:spacing w:val="-13"/>
          <w:sz w:val="32"/>
          <w:szCs w:val="32"/>
        </w:rPr>
        <w:t>于202</w:t>
      </w:r>
      <w:r>
        <w:rPr>
          <w:rFonts w:hint="eastAsia" w:ascii="仿宋" w:hAnsi="仿宋" w:eastAsia="仿宋" w:cs="仿宋"/>
          <w:color w:val="auto"/>
          <w:spacing w:val="-13"/>
          <w:sz w:val="32"/>
          <w:szCs w:val="32"/>
          <w:lang w:val="en-US" w:eastAsia="zh-CN"/>
        </w:rPr>
        <w:t>2</w:t>
      </w:r>
      <w:r>
        <w:rPr>
          <w:rFonts w:hint="eastAsia" w:ascii="仿宋" w:hAnsi="仿宋" w:eastAsia="仿宋" w:cs="仿宋"/>
          <w:color w:val="auto"/>
          <w:spacing w:val="-13"/>
          <w:sz w:val="32"/>
          <w:szCs w:val="32"/>
        </w:rPr>
        <w:t>年11月</w:t>
      </w:r>
      <w:r>
        <w:rPr>
          <w:rFonts w:hint="eastAsia" w:ascii="仿宋" w:hAnsi="仿宋" w:eastAsia="仿宋" w:cs="仿宋"/>
          <w:color w:val="auto"/>
          <w:spacing w:val="-13"/>
          <w:sz w:val="32"/>
          <w:szCs w:val="32"/>
          <w:lang w:val="en-US" w:eastAsia="zh-CN"/>
        </w:rPr>
        <w:t>5</w:t>
      </w:r>
      <w:r>
        <w:rPr>
          <w:rFonts w:hint="eastAsia" w:ascii="仿宋" w:hAnsi="仿宋" w:eastAsia="仿宋" w:cs="仿宋"/>
          <w:color w:val="auto"/>
          <w:spacing w:val="-13"/>
          <w:sz w:val="32"/>
          <w:szCs w:val="32"/>
        </w:rPr>
        <w:t>日至202</w:t>
      </w:r>
      <w:r>
        <w:rPr>
          <w:rFonts w:hint="eastAsia" w:ascii="仿宋" w:hAnsi="仿宋" w:eastAsia="仿宋" w:cs="仿宋"/>
          <w:color w:val="auto"/>
          <w:spacing w:val="-13"/>
          <w:sz w:val="32"/>
          <w:szCs w:val="32"/>
          <w:lang w:val="en-US" w:eastAsia="zh-CN"/>
        </w:rPr>
        <w:t>2</w:t>
      </w:r>
      <w:r>
        <w:rPr>
          <w:rFonts w:hint="eastAsia" w:ascii="仿宋" w:hAnsi="仿宋" w:eastAsia="仿宋" w:cs="仿宋"/>
          <w:color w:val="auto"/>
          <w:spacing w:val="-13"/>
          <w:sz w:val="32"/>
          <w:szCs w:val="32"/>
        </w:rPr>
        <w:t>年</w:t>
      </w:r>
      <w:r>
        <w:rPr>
          <w:rFonts w:hint="eastAsia" w:ascii="仿宋" w:hAnsi="仿宋" w:eastAsia="仿宋" w:cs="仿宋"/>
          <w:color w:val="auto"/>
          <w:spacing w:val="-13"/>
          <w:sz w:val="32"/>
          <w:szCs w:val="32"/>
          <w:lang w:val="en-US" w:eastAsia="zh-CN"/>
        </w:rPr>
        <w:t>11</w:t>
      </w:r>
      <w:r>
        <w:rPr>
          <w:rFonts w:hint="eastAsia" w:ascii="仿宋" w:hAnsi="仿宋" w:eastAsia="仿宋" w:cs="仿宋"/>
          <w:color w:val="auto"/>
          <w:spacing w:val="-13"/>
          <w:sz w:val="32"/>
          <w:szCs w:val="32"/>
        </w:rPr>
        <w:t>月</w:t>
      </w:r>
      <w:r>
        <w:rPr>
          <w:rFonts w:hint="eastAsia" w:ascii="仿宋" w:hAnsi="仿宋" w:eastAsia="仿宋" w:cs="仿宋"/>
          <w:color w:val="auto"/>
          <w:spacing w:val="-13"/>
          <w:sz w:val="32"/>
          <w:szCs w:val="32"/>
          <w:lang w:val="en-US" w:eastAsia="zh-CN"/>
        </w:rPr>
        <w:t>25</w:t>
      </w:r>
      <w:r>
        <w:rPr>
          <w:rFonts w:hint="eastAsia" w:ascii="仿宋" w:hAnsi="仿宋" w:eastAsia="仿宋" w:cs="仿宋"/>
          <w:color w:val="auto"/>
          <w:spacing w:val="-13"/>
          <w:sz w:val="32"/>
          <w:szCs w:val="32"/>
        </w:rPr>
        <w:t>日对</w:t>
      </w:r>
      <w:r>
        <w:rPr>
          <w:rFonts w:hint="eastAsia" w:ascii="仿宋" w:hAnsi="仿宋" w:eastAsia="仿宋" w:cs="仿宋"/>
          <w:color w:val="auto"/>
          <w:spacing w:val="-4"/>
          <w:sz w:val="32"/>
          <w:szCs w:val="32"/>
        </w:rPr>
        <w:t>信阳市城市管理局2021年度二次垃圾转运站运行经费项目开展了绩效评价，</w:t>
      </w:r>
      <w:bookmarkStart w:id="1" w:name="_bookmark1"/>
      <w:bookmarkEnd w:id="1"/>
      <w:r>
        <w:rPr>
          <w:rFonts w:hint="eastAsia" w:ascii="仿宋" w:hAnsi="仿宋" w:eastAsia="仿宋" w:cs="仿宋"/>
          <w:color w:val="auto"/>
          <w:spacing w:val="-9"/>
          <w:sz w:val="32"/>
          <w:szCs w:val="32"/>
        </w:rPr>
        <w:t>评价情况如下：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3" w:firstLineChars="200"/>
        <w:outlineLvl w:val="0"/>
        <w:rPr>
          <w:rFonts w:hint="eastAsia" w:ascii="仿宋" w:hAnsi="仿宋" w:eastAsia="仿宋" w:cs="仿宋"/>
          <w:color w:val="4C4C4C"/>
          <w:sz w:val="32"/>
          <w:szCs w:val="32"/>
        </w:rPr>
      </w:pPr>
      <w:bookmarkStart w:id="2" w:name="_Toc7861"/>
      <w:r>
        <w:rPr>
          <w:rStyle w:val="13"/>
          <w:rFonts w:hint="eastAsia" w:ascii="仿宋" w:hAnsi="仿宋" w:eastAsia="仿宋" w:cs="仿宋"/>
          <w:i w:val="0"/>
          <w:iCs w:val="0"/>
          <w:caps w:val="0"/>
          <w:color w:val="4C4C4C"/>
          <w:spacing w:val="0"/>
          <w:sz w:val="32"/>
          <w:szCs w:val="32"/>
          <w:shd w:val="clear" w:fill="FFFFFF"/>
        </w:rPr>
        <w:t>一、项目基本情况</w:t>
      </w:r>
      <w:bookmarkEnd w:id="2"/>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outlineLvl w:val="1"/>
        <w:rPr>
          <w:rFonts w:hint="eastAsia" w:ascii="仿宋" w:hAnsi="仿宋" w:eastAsia="仿宋" w:cs="仿宋"/>
          <w:color w:val="auto"/>
          <w:spacing w:val="-9"/>
          <w:sz w:val="32"/>
          <w:szCs w:val="32"/>
        </w:rPr>
      </w:pPr>
      <w:bookmarkStart w:id="3" w:name="_Toc10872"/>
      <w:r>
        <w:rPr>
          <w:rFonts w:hint="eastAsia" w:ascii="仿宋" w:hAnsi="仿宋" w:eastAsia="仿宋" w:cs="仿宋"/>
          <w:color w:val="auto"/>
          <w:spacing w:val="-9"/>
          <w:sz w:val="32"/>
          <w:szCs w:val="32"/>
        </w:rPr>
        <w:t>（一）项目概况</w:t>
      </w:r>
      <w:bookmarkEnd w:id="3"/>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7" w:firstLineChars="200"/>
        <w:outlineLvl w:val="2"/>
        <w:rPr>
          <w:rFonts w:hint="eastAsia" w:ascii="仿宋" w:hAnsi="仿宋" w:eastAsia="仿宋" w:cs="仿宋"/>
          <w:b/>
          <w:bCs/>
          <w:color w:val="auto"/>
          <w:spacing w:val="-9"/>
          <w:sz w:val="32"/>
          <w:szCs w:val="32"/>
          <w:lang w:val="en-US" w:eastAsia="zh-CN"/>
        </w:rPr>
      </w:pPr>
      <w:bookmarkStart w:id="4" w:name="_Toc31525"/>
      <w:r>
        <w:rPr>
          <w:rFonts w:hint="eastAsia" w:ascii="仿宋" w:hAnsi="仿宋" w:eastAsia="仿宋" w:cs="仿宋"/>
          <w:b/>
          <w:bCs/>
          <w:color w:val="auto"/>
          <w:spacing w:val="-9"/>
          <w:sz w:val="32"/>
          <w:szCs w:val="32"/>
          <w:lang w:val="en-US" w:eastAsia="zh-CN"/>
        </w:rPr>
        <w:t>1、项目背景</w:t>
      </w:r>
      <w:bookmarkEnd w:id="4"/>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为</w:t>
      </w:r>
      <w:r>
        <w:rPr>
          <w:rFonts w:hint="eastAsia" w:ascii="仿宋" w:hAnsi="仿宋" w:eastAsia="仿宋" w:cs="仿宋"/>
          <w:color w:val="auto"/>
          <w:spacing w:val="-9"/>
          <w:sz w:val="32"/>
          <w:szCs w:val="32"/>
          <w:lang w:val="en-US" w:eastAsia="zh-CN"/>
        </w:rPr>
        <w:t>改善和</w:t>
      </w:r>
      <w:r>
        <w:rPr>
          <w:rFonts w:hint="eastAsia" w:ascii="仿宋" w:hAnsi="仿宋" w:eastAsia="仿宋" w:cs="仿宋"/>
          <w:color w:val="auto"/>
          <w:spacing w:val="-9"/>
          <w:sz w:val="32"/>
          <w:szCs w:val="32"/>
        </w:rPr>
        <w:t>提升</w:t>
      </w:r>
      <w:r>
        <w:rPr>
          <w:rFonts w:hint="eastAsia" w:ascii="仿宋" w:hAnsi="仿宋" w:eastAsia="仿宋" w:cs="仿宋"/>
          <w:color w:val="auto"/>
          <w:spacing w:val="-9"/>
          <w:sz w:val="32"/>
          <w:szCs w:val="32"/>
          <w:lang w:val="en-US" w:eastAsia="zh-CN"/>
        </w:rPr>
        <w:t>信阳市区</w:t>
      </w:r>
      <w:r>
        <w:rPr>
          <w:rFonts w:hint="eastAsia" w:ascii="仿宋" w:hAnsi="仿宋" w:eastAsia="仿宋" w:cs="仿宋"/>
          <w:color w:val="auto"/>
          <w:spacing w:val="-9"/>
          <w:sz w:val="32"/>
          <w:szCs w:val="32"/>
        </w:rPr>
        <w:t>环境卫生质量，完善市政环保、公用基础设施体系，加快城市环境保护基础设施建设，促进环境保护与经济建设协调发展，加快建设两型社会。根据住房和城乡建设部《关于加快市政公用行业市场化进程的意见》、《关于加强市政公用事业监管的意见》等有关文件精神，</w:t>
      </w:r>
      <w:r>
        <w:rPr>
          <w:rFonts w:hint="eastAsia" w:ascii="仿宋" w:hAnsi="仿宋" w:eastAsia="仿宋" w:cs="仿宋"/>
          <w:color w:val="auto"/>
          <w:spacing w:val="-9"/>
          <w:sz w:val="32"/>
          <w:szCs w:val="32"/>
          <w:lang w:val="en-US" w:eastAsia="zh-CN"/>
        </w:rPr>
        <w:t>结合</w:t>
      </w:r>
      <w:r>
        <w:rPr>
          <w:rFonts w:hint="eastAsia" w:ascii="仿宋" w:hAnsi="仿宋" w:eastAsia="仿宋" w:cs="仿宋"/>
          <w:color w:val="auto"/>
          <w:spacing w:val="-9"/>
          <w:sz w:val="32"/>
          <w:szCs w:val="32"/>
        </w:rPr>
        <w:t>《信阳市人民政府关于印发信阳市推进城市管理执法体系体制改革改进城市管理工作实施方案的通知》（信政文〔2017〕96号）文件要求，环卫职能下放后，信阳市城市管理局环卫处仍然承担垃圾二次转运站日常管理和垃圾运输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7" w:firstLineChars="200"/>
        <w:outlineLvl w:val="2"/>
        <w:rPr>
          <w:rFonts w:hint="eastAsia" w:ascii="仿宋" w:hAnsi="仿宋" w:eastAsia="仿宋" w:cs="仿宋"/>
          <w:b/>
          <w:bCs/>
          <w:color w:val="auto"/>
          <w:spacing w:val="-9"/>
          <w:sz w:val="32"/>
          <w:szCs w:val="32"/>
          <w:lang w:val="en-US" w:eastAsia="zh-CN"/>
        </w:rPr>
      </w:pPr>
      <w:bookmarkStart w:id="5" w:name="_Toc6699"/>
      <w:r>
        <w:rPr>
          <w:rFonts w:hint="eastAsia" w:ascii="仿宋" w:hAnsi="仿宋" w:eastAsia="仿宋" w:cs="仿宋"/>
          <w:b/>
          <w:bCs/>
          <w:color w:val="auto"/>
          <w:spacing w:val="-9"/>
          <w:sz w:val="32"/>
          <w:szCs w:val="32"/>
          <w:lang w:val="en-US" w:eastAsia="zh-CN"/>
        </w:rPr>
        <w:t>2、项目实施</w:t>
      </w:r>
      <w:bookmarkEnd w:id="5"/>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rPr>
          <w:rFonts w:hint="eastAsia" w:ascii="仿宋" w:hAnsi="仿宋" w:eastAsia="仿宋" w:cs="仿宋"/>
          <w:color w:val="auto"/>
          <w:spacing w:val="-9"/>
          <w:sz w:val="32"/>
          <w:szCs w:val="32"/>
          <w:lang w:eastAsia="zh-CN"/>
        </w:rPr>
      </w:pPr>
      <w:r>
        <w:rPr>
          <w:rFonts w:hint="eastAsia" w:ascii="仿宋" w:hAnsi="仿宋" w:eastAsia="仿宋" w:cs="仿宋"/>
          <w:color w:val="auto"/>
          <w:spacing w:val="-9"/>
          <w:sz w:val="32"/>
          <w:szCs w:val="32"/>
        </w:rPr>
        <w:t>2015年</w:t>
      </w:r>
      <w:r>
        <w:rPr>
          <w:rFonts w:hint="eastAsia" w:ascii="仿宋" w:hAnsi="仿宋" w:eastAsia="仿宋" w:cs="仿宋"/>
          <w:color w:val="auto"/>
          <w:spacing w:val="-9"/>
          <w:sz w:val="32"/>
          <w:szCs w:val="32"/>
          <w:lang w:val="en-US" w:eastAsia="zh-CN"/>
        </w:rPr>
        <w:t>信阳市城区生活</w:t>
      </w:r>
      <w:r>
        <w:rPr>
          <w:rFonts w:hint="eastAsia" w:ascii="仿宋" w:hAnsi="仿宋" w:eastAsia="仿宋" w:cs="仿宋"/>
          <w:color w:val="auto"/>
          <w:spacing w:val="-9"/>
          <w:sz w:val="32"/>
          <w:szCs w:val="32"/>
        </w:rPr>
        <w:t>垃圾二次转运项目面向社会公开招标，与中标单位</w:t>
      </w:r>
      <w:r>
        <w:rPr>
          <w:rFonts w:hint="eastAsia" w:ascii="仿宋" w:hAnsi="仿宋" w:eastAsia="仿宋" w:cs="仿宋"/>
          <w:color w:val="auto"/>
          <w:spacing w:val="-9"/>
          <w:sz w:val="32"/>
          <w:szCs w:val="32"/>
          <w:lang w:val="en-US" w:eastAsia="zh-CN"/>
        </w:rPr>
        <w:t>--</w:t>
      </w:r>
      <w:r>
        <w:rPr>
          <w:rFonts w:hint="eastAsia" w:ascii="仿宋" w:hAnsi="仿宋" w:eastAsia="仿宋" w:cs="仿宋"/>
          <w:color w:val="auto"/>
          <w:spacing w:val="-9"/>
          <w:sz w:val="32"/>
          <w:szCs w:val="32"/>
        </w:rPr>
        <w:t>郑州清尘环保技术有限公司签订承包合同，期限为2015年9月1日至2018年8月31日</w:t>
      </w:r>
      <w:r>
        <w:rPr>
          <w:rFonts w:hint="eastAsia" w:ascii="仿宋" w:hAnsi="仿宋" w:eastAsia="仿宋" w:cs="仿宋"/>
          <w:color w:val="auto"/>
          <w:spacing w:val="-9"/>
          <w:sz w:val="32"/>
          <w:szCs w:val="32"/>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rPr>
          <w:rFonts w:hint="eastAsia" w:ascii="仿宋" w:hAnsi="仿宋" w:eastAsia="仿宋" w:cs="仿宋"/>
          <w:color w:val="auto"/>
          <w:spacing w:val="-9"/>
          <w:sz w:val="32"/>
          <w:szCs w:val="32"/>
          <w:lang w:val="en-US" w:eastAsia="zh-CN"/>
        </w:rPr>
      </w:pPr>
      <w:r>
        <w:rPr>
          <w:rFonts w:hint="eastAsia" w:ascii="仿宋" w:hAnsi="仿宋" w:eastAsia="仿宋" w:cs="仿宋"/>
          <w:color w:val="auto"/>
          <w:spacing w:val="-9"/>
          <w:sz w:val="32"/>
          <w:szCs w:val="32"/>
          <w:lang w:val="en-US" w:eastAsia="zh-CN"/>
        </w:rPr>
        <w:t>2018年9月</w:t>
      </w:r>
      <w:r>
        <w:rPr>
          <w:rFonts w:hint="eastAsia" w:ascii="仿宋" w:hAnsi="仿宋" w:eastAsia="仿宋" w:cs="仿宋"/>
          <w:color w:val="auto"/>
          <w:spacing w:val="-9"/>
          <w:sz w:val="32"/>
          <w:szCs w:val="32"/>
        </w:rPr>
        <w:t>信阳市城市管理局环卫处参照第一轮</w:t>
      </w:r>
      <w:r>
        <w:rPr>
          <w:rFonts w:hint="eastAsia" w:ascii="仿宋" w:hAnsi="仿宋" w:eastAsia="仿宋" w:cs="仿宋"/>
          <w:color w:val="auto"/>
          <w:spacing w:val="-9"/>
          <w:sz w:val="32"/>
          <w:szCs w:val="32"/>
          <w:lang w:eastAsia="zh-CN"/>
        </w:rPr>
        <w:t>的</w:t>
      </w:r>
      <w:r>
        <w:rPr>
          <w:rFonts w:hint="eastAsia" w:ascii="仿宋" w:hAnsi="仿宋" w:eastAsia="仿宋" w:cs="仿宋"/>
          <w:color w:val="auto"/>
          <w:spacing w:val="-9"/>
          <w:sz w:val="32"/>
          <w:szCs w:val="32"/>
          <w:lang w:val="en-US" w:eastAsia="zh-CN"/>
        </w:rPr>
        <w:t>招标标准，经优化并经市财政评审中心批复，</w:t>
      </w:r>
      <w:r>
        <w:rPr>
          <w:rFonts w:hint="eastAsia" w:ascii="仿宋" w:hAnsi="仿宋" w:eastAsia="仿宋" w:cs="仿宋"/>
          <w:color w:val="auto"/>
          <w:spacing w:val="-9"/>
          <w:sz w:val="32"/>
          <w:szCs w:val="32"/>
        </w:rPr>
        <w:t>二次转运站管养运行和垃圾运输工作第二轮市场化运作招标顺利开展实施，与中标单位</w:t>
      </w:r>
      <w:r>
        <w:rPr>
          <w:rFonts w:hint="eastAsia" w:ascii="仿宋" w:hAnsi="仿宋" w:eastAsia="仿宋" w:cs="仿宋"/>
          <w:color w:val="auto"/>
          <w:spacing w:val="-9"/>
          <w:sz w:val="32"/>
          <w:szCs w:val="32"/>
          <w:lang w:val="en-US" w:eastAsia="zh-CN"/>
        </w:rPr>
        <w:t>--长沙普惠环保机械有限公司</w:t>
      </w:r>
      <w:r>
        <w:rPr>
          <w:rFonts w:hint="eastAsia" w:ascii="仿宋" w:hAnsi="仿宋" w:eastAsia="仿宋" w:cs="仿宋"/>
          <w:color w:val="auto"/>
          <w:spacing w:val="-9"/>
          <w:sz w:val="32"/>
          <w:szCs w:val="32"/>
        </w:rPr>
        <w:t>签订</w:t>
      </w:r>
      <w:r>
        <w:rPr>
          <w:rFonts w:hint="eastAsia" w:ascii="仿宋" w:hAnsi="仿宋" w:eastAsia="仿宋" w:cs="仿宋"/>
          <w:color w:val="auto"/>
          <w:spacing w:val="-9"/>
          <w:sz w:val="32"/>
          <w:szCs w:val="32"/>
          <w:lang w:eastAsia="zh-CN"/>
        </w:rPr>
        <w:t>了《</w:t>
      </w:r>
      <w:r>
        <w:rPr>
          <w:rFonts w:hint="eastAsia" w:ascii="仿宋" w:hAnsi="仿宋" w:eastAsia="仿宋" w:cs="仿宋"/>
          <w:color w:val="auto"/>
          <w:spacing w:val="-9"/>
          <w:sz w:val="32"/>
          <w:szCs w:val="32"/>
          <w:lang w:val="en-US" w:eastAsia="zh-CN"/>
        </w:rPr>
        <w:t>信阳市生活垃圾</w:t>
      </w:r>
      <w:r>
        <w:rPr>
          <w:rFonts w:hint="eastAsia" w:ascii="仿宋" w:hAnsi="仿宋" w:eastAsia="仿宋" w:cs="仿宋"/>
          <w:color w:val="auto"/>
          <w:spacing w:val="-9"/>
          <w:sz w:val="32"/>
          <w:szCs w:val="32"/>
        </w:rPr>
        <w:t>二次转运站管养运行和垃圾运输承包合同</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lang w:val="en-US" w:eastAsia="zh-CN"/>
        </w:rPr>
        <w:t>承包期限三年</w:t>
      </w:r>
      <w:r>
        <w:rPr>
          <w:rFonts w:hint="eastAsia" w:ascii="仿宋" w:hAnsi="仿宋" w:eastAsia="仿宋" w:cs="仿宋"/>
          <w:color w:val="auto"/>
          <w:spacing w:val="-9"/>
          <w:sz w:val="32"/>
          <w:szCs w:val="32"/>
        </w:rPr>
        <w:t>，</w:t>
      </w:r>
      <w:r>
        <w:rPr>
          <w:rFonts w:hint="eastAsia" w:ascii="仿宋" w:hAnsi="仿宋" w:eastAsia="仿宋" w:cs="仿宋"/>
          <w:color w:val="auto"/>
          <w:spacing w:val="-9"/>
          <w:sz w:val="32"/>
          <w:szCs w:val="32"/>
          <w:lang w:val="en-US" w:eastAsia="zh-CN"/>
        </w:rPr>
        <w:t>第一年自</w:t>
      </w:r>
      <w:r>
        <w:rPr>
          <w:rFonts w:hint="eastAsia" w:ascii="仿宋" w:hAnsi="仿宋" w:eastAsia="仿宋" w:cs="仿宋"/>
          <w:color w:val="auto"/>
          <w:spacing w:val="-9"/>
          <w:sz w:val="32"/>
          <w:szCs w:val="32"/>
        </w:rPr>
        <w:t>20</w:t>
      </w:r>
      <w:r>
        <w:rPr>
          <w:rFonts w:hint="eastAsia" w:ascii="仿宋" w:hAnsi="仿宋" w:eastAsia="仿宋" w:cs="仿宋"/>
          <w:color w:val="auto"/>
          <w:spacing w:val="-9"/>
          <w:sz w:val="32"/>
          <w:szCs w:val="32"/>
          <w:lang w:val="en-US" w:eastAsia="zh-CN"/>
        </w:rPr>
        <w:t>20</w:t>
      </w:r>
      <w:r>
        <w:rPr>
          <w:rFonts w:hint="eastAsia" w:ascii="仿宋" w:hAnsi="仿宋" w:eastAsia="仿宋" w:cs="仿宋"/>
          <w:color w:val="auto"/>
          <w:spacing w:val="-9"/>
          <w:sz w:val="32"/>
          <w:szCs w:val="32"/>
        </w:rPr>
        <w:t>年9月1日至20</w:t>
      </w:r>
      <w:r>
        <w:rPr>
          <w:rFonts w:hint="eastAsia" w:ascii="仿宋" w:hAnsi="仿宋" w:eastAsia="仿宋" w:cs="仿宋"/>
          <w:color w:val="auto"/>
          <w:spacing w:val="-9"/>
          <w:sz w:val="32"/>
          <w:szCs w:val="32"/>
          <w:lang w:val="en-US" w:eastAsia="zh-CN"/>
        </w:rPr>
        <w:t>21</w:t>
      </w:r>
      <w:r>
        <w:rPr>
          <w:rFonts w:hint="eastAsia" w:ascii="仿宋" w:hAnsi="仿宋" w:eastAsia="仿宋" w:cs="仿宋"/>
          <w:color w:val="auto"/>
          <w:spacing w:val="-9"/>
          <w:sz w:val="32"/>
          <w:szCs w:val="32"/>
        </w:rPr>
        <w:t>年8月31日</w:t>
      </w:r>
      <w:r>
        <w:rPr>
          <w:rFonts w:hint="eastAsia" w:ascii="仿宋" w:hAnsi="仿宋" w:eastAsia="仿宋" w:cs="仿宋"/>
          <w:color w:val="auto"/>
          <w:spacing w:val="-9"/>
          <w:sz w:val="32"/>
          <w:szCs w:val="32"/>
          <w:lang w:val="en-US" w:eastAsia="zh-CN"/>
        </w:rPr>
        <w:t>止</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lang w:val="en-US" w:eastAsia="zh-CN"/>
        </w:rPr>
        <w:t>依据考核结果，合同一年一签。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outlineLvl w:val="1"/>
        <w:rPr>
          <w:rFonts w:hint="eastAsia" w:ascii="仿宋" w:hAnsi="仿宋" w:eastAsia="仿宋" w:cs="仿宋"/>
          <w:color w:val="auto"/>
          <w:spacing w:val="-9"/>
          <w:sz w:val="32"/>
          <w:szCs w:val="32"/>
        </w:rPr>
      </w:pPr>
      <w:bookmarkStart w:id="6" w:name="_Toc17458"/>
      <w:r>
        <w:rPr>
          <w:rFonts w:hint="eastAsia" w:ascii="仿宋" w:hAnsi="仿宋" w:eastAsia="仿宋" w:cs="仿宋"/>
          <w:color w:val="auto"/>
          <w:spacing w:val="-9"/>
          <w:sz w:val="32"/>
          <w:szCs w:val="32"/>
        </w:rPr>
        <w:t>（二）项目绩效目标</w:t>
      </w:r>
      <w:bookmarkEnd w:id="6"/>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7" w:firstLineChars="200"/>
        <w:outlineLvl w:val="2"/>
        <w:rPr>
          <w:rFonts w:hint="eastAsia" w:ascii="仿宋" w:hAnsi="仿宋" w:eastAsia="仿宋" w:cs="仿宋"/>
          <w:b/>
          <w:bCs/>
          <w:color w:val="auto"/>
          <w:spacing w:val="-9"/>
          <w:sz w:val="32"/>
          <w:szCs w:val="32"/>
        </w:rPr>
      </w:pPr>
      <w:bookmarkStart w:id="7" w:name="_Toc4572"/>
      <w:r>
        <w:rPr>
          <w:rFonts w:hint="eastAsia" w:ascii="仿宋" w:hAnsi="仿宋" w:eastAsia="仿宋" w:cs="仿宋"/>
          <w:b/>
          <w:bCs/>
          <w:color w:val="auto"/>
          <w:spacing w:val="-9"/>
          <w:sz w:val="32"/>
          <w:szCs w:val="32"/>
        </w:rPr>
        <w:t>1.预算批复</w:t>
      </w:r>
      <w:r>
        <w:rPr>
          <w:rFonts w:hint="eastAsia" w:ascii="仿宋" w:hAnsi="仿宋" w:eastAsia="仿宋" w:cs="仿宋"/>
          <w:b/>
          <w:bCs/>
          <w:color w:val="auto"/>
          <w:spacing w:val="-9"/>
          <w:sz w:val="32"/>
          <w:szCs w:val="32"/>
          <w:lang w:eastAsia="zh-CN"/>
        </w:rPr>
        <w:t>的</w:t>
      </w:r>
      <w:r>
        <w:rPr>
          <w:rFonts w:hint="eastAsia" w:ascii="仿宋" w:hAnsi="仿宋" w:eastAsia="仿宋" w:cs="仿宋"/>
          <w:b/>
          <w:bCs/>
          <w:color w:val="auto"/>
          <w:spacing w:val="-9"/>
          <w:sz w:val="32"/>
          <w:szCs w:val="32"/>
        </w:rPr>
        <w:t>绩效目标</w:t>
      </w:r>
      <w:bookmarkEnd w:id="7"/>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lang w:val="en-US" w:eastAsia="zh-CN"/>
        </w:rPr>
        <w:t>根据</w:t>
      </w:r>
      <w:r>
        <w:rPr>
          <w:rFonts w:hint="eastAsia" w:ascii="仿宋" w:hAnsi="仿宋" w:eastAsia="仿宋" w:cs="仿宋"/>
          <w:color w:val="auto"/>
          <w:spacing w:val="-9"/>
          <w:sz w:val="32"/>
          <w:szCs w:val="32"/>
        </w:rPr>
        <w:t>《信阳市人民政府关于印发信阳市推进城市管理执法体系体制改革改进城市管理工作实施方案的通知》信政文（2017）96号文件</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lang w:val="en-US" w:eastAsia="zh-CN"/>
        </w:rPr>
        <w:t>信阳市区</w:t>
      </w:r>
      <w:r>
        <w:rPr>
          <w:rFonts w:hint="eastAsia" w:ascii="仿宋" w:hAnsi="仿宋" w:eastAsia="仿宋" w:cs="仿宋"/>
          <w:color w:val="auto"/>
          <w:spacing w:val="-9"/>
          <w:sz w:val="32"/>
          <w:szCs w:val="32"/>
        </w:rPr>
        <w:t>生活垃圾二次转运站</w:t>
      </w:r>
      <w:r>
        <w:rPr>
          <w:rFonts w:hint="eastAsia" w:ascii="仿宋" w:hAnsi="仿宋" w:eastAsia="仿宋" w:cs="仿宋"/>
          <w:color w:val="auto"/>
          <w:spacing w:val="-9"/>
          <w:sz w:val="32"/>
          <w:szCs w:val="32"/>
          <w:lang w:val="en-US" w:eastAsia="zh-CN"/>
        </w:rPr>
        <w:t>管养及转运实行市场化运作。经申请批复以2018年9月至2021年8月底作为第二轮公开招标期间</w:t>
      </w:r>
      <w:r>
        <w:rPr>
          <w:rFonts w:hint="eastAsia" w:ascii="仿宋" w:hAnsi="仿宋" w:eastAsia="仿宋" w:cs="仿宋"/>
          <w:color w:val="auto"/>
          <w:spacing w:val="-9"/>
          <w:sz w:val="32"/>
          <w:szCs w:val="32"/>
        </w:rPr>
        <w:t>，</w:t>
      </w:r>
      <w:r>
        <w:rPr>
          <w:rFonts w:hint="eastAsia" w:ascii="仿宋" w:hAnsi="仿宋" w:eastAsia="仿宋" w:cs="仿宋"/>
          <w:color w:val="auto"/>
          <w:spacing w:val="-9"/>
          <w:sz w:val="32"/>
          <w:szCs w:val="32"/>
          <w:lang w:val="en-US" w:eastAsia="zh-CN"/>
        </w:rPr>
        <w:t>具体目标：将</w:t>
      </w:r>
      <w:r>
        <w:rPr>
          <w:rFonts w:hint="eastAsia" w:ascii="仿宋" w:hAnsi="仿宋" w:eastAsia="仿宋" w:cs="仿宋"/>
          <w:color w:val="auto"/>
          <w:spacing w:val="-9"/>
          <w:sz w:val="32"/>
          <w:szCs w:val="32"/>
        </w:rPr>
        <w:t>二次转运站</w:t>
      </w:r>
      <w:r>
        <w:rPr>
          <w:rFonts w:hint="eastAsia" w:ascii="仿宋" w:hAnsi="仿宋" w:eastAsia="仿宋" w:cs="仿宋"/>
          <w:color w:val="auto"/>
          <w:spacing w:val="-9"/>
          <w:sz w:val="32"/>
          <w:szCs w:val="32"/>
          <w:lang w:val="en-US" w:eastAsia="zh-CN"/>
        </w:rPr>
        <w:t>每天收集的垃圾，转运</w:t>
      </w:r>
      <w:r>
        <w:rPr>
          <w:rFonts w:hint="eastAsia" w:ascii="仿宋" w:hAnsi="仿宋" w:eastAsia="仿宋" w:cs="仿宋"/>
          <w:color w:val="auto"/>
          <w:spacing w:val="-9"/>
          <w:sz w:val="32"/>
          <w:szCs w:val="32"/>
        </w:rPr>
        <w:t>至华新环境工程（信阳）有限公司；</w:t>
      </w:r>
      <w:r>
        <w:rPr>
          <w:rFonts w:hint="eastAsia" w:ascii="仿宋" w:hAnsi="仿宋" w:eastAsia="仿宋" w:cs="仿宋"/>
          <w:color w:val="auto"/>
          <w:spacing w:val="-9"/>
          <w:sz w:val="32"/>
          <w:szCs w:val="32"/>
          <w:lang w:val="en-US" w:eastAsia="zh-CN"/>
        </w:rPr>
        <w:t>待</w:t>
      </w:r>
      <w:r>
        <w:rPr>
          <w:rFonts w:hint="eastAsia" w:ascii="仿宋" w:hAnsi="仿宋" w:eastAsia="仿宋" w:cs="仿宋"/>
          <w:color w:val="auto"/>
          <w:spacing w:val="-9"/>
          <w:sz w:val="32"/>
          <w:szCs w:val="32"/>
        </w:rPr>
        <w:t>信阳市生活垃圾焚烧发电项目运行后，需同时转运生活垃圾至</w:t>
      </w:r>
      <w:r>
        <w:rPr>
          <w:rFonts w:hint="eastAsia" w:ascii="仿宋" w:hAnsi="仿宋" w:eastAsia="仿宋" w:cs="仿宋"/>
          <w:color w:val="auto"/>
          <w:spacing w:val="-9"/>
          <w:sz w:val="32"/>
          <w:szCs w:val="32"/>
          <w:lang w:val="en-US" w:eastAsia="zh-CN"/>
        </w:rPr>
        <w:t>该</w:t>
      </w:r>
      <w:r>
        <w:rPr>
          <w:rFonts w:hint="eastAsia" w:ascii="仿宋" w:hAnsi="仿宋" w:eastAsia="仿宋" w:cs="仿宋"/>
          <w:color w:val="auto"/>
          <w:spacing w:val="-9"/>
          <w:sz w:val="32"/>
          <w:szCs w:val="32"/>
        </w:rPr>
        <w:t>发电厂</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确保信阳市中心城区生活垃圾日产日清。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7" w:firstLineChars="200"/>
        <w:outlineLvl w:val="2"/>
        <w:rPr>
          <w:rFonts w:hint="eastAsia" w:ascii="仿宋" w:hAnsi="仿宋" w:eastAsia="仿宋" w:cs="仿宋"/>
          <w:b/>
          <w:bCs/>
          <w:color w:val="auto"/>
          <w:spacing w:val="-9"/>
          <w:sz w:val="32"/>
          <w:szCs w:val="32"/>
        </w:rPr>
      </w:pPr>
      <w:bookmarkStart w:id="8" w:name="_Toc16954"/>
      <w:r>
        <w:rPr>
          <w:rFonts w:hint="eastAsia" w:ascii="仿宋" w:hAnsi="仿宋" w:eastAsia="仿宋" w:cs="仿宋"/>
          <w:b/>
          <w:bCs/>
          <w:color w:val="auto"/>
          <w:spacing w:val="-9"/>
          <w:sz w:val="32"/>
          <w:szCs w:val="32"/>
        </w:rPr>
        <w:t>2.预算批复绩效指标完成情况</w:t>
      </w:r>
      <w:bookmarkEnd w:id="8"/>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（1）</w:t>
      </w:r>
      <w:r>
        <w:rPr>
          <w:rFonts w:hint="eastAsia" w:ascii="仿宋" w:hAnsi="仿宋" w:eastAsia="仿宋" w:cs="仿宋"/>
          <w:color w:val="auto"/>
          <w:spacing w:val="-9"/>
          <w:sz w:val="32"/>
          <w:szCs w:val="32"/>
          <w:lang w:val="en-US" w:eastAsia="zh-CN"/>
        </w:rPr>
        <w:t>根据环卫处与中标方签订的项目合同书，</w:t>
      </w:r>
      <w:r>
        <w:rPr>
          <w:rFonts w:hint="eastAsia" w:ascii="仿宋" w:hAnsi="仿宋" w:eastAsia="仿宋" w:cs="仿宋"/>
          <w:color w:val="auto"/>
          <w:spacing w:val="-9"/>
          <w:sz w:val="32"/>
          <w:szCs w:val="32"/>
        </w:rPr>
        <w:t>202</w:t>
      </w:r>
      <w:r>
        <w:rPr>
          <w:rFonts w:hint="eastAsia" w:ascii="仿宋" w:hAnsi="仿宋" w:eastAsia="仿宋" w:cs="仿宋"/>
          <w:color w:val="auto"/>
          <w:spacing w:val="-9"/>
          <w:sz w:val="32"/>
          <w:szCs w:val="32"/>
          <w:lang w:val="en-US" w:eastAsia="zh-CN"/>
        </w:rPr>
        <w:t>1</w:t>
      </w:r>
      <w:r>
        <w:rPr>
          <w:rFonts w:hint="eastAsia" w:ascii="仿宋" w:hAnsi="仿宋" w:eastAsia="仿宋" w:cs="仿宋"/>
          <w:color w:val="auto"/>
          <w:spacing w:val="-9"/>
          <w:sz w:val="32"/>
          <w:szCs w:val="32"/>
        </w:rPr>
        <w:t>年</w:t>
      </w:r>
      <w:r>
        <w:rPr>
          <w:rFonts w:hint="eastAsia" w:ascii="仿宋" w:hAnsi="仿宋" w:eastAsia="仿宋" w:cs="仿宋"/>
          <w:color w:val="auto"/>
          <w:spacing w:val="-9"/>
          <w:sz w:val="32"/>
          <w:szCs w:val="32"/>
          <w:lang w:val="en-US" w:eastAsia="zh-CN"/>
        </w:rPr>
        <w:t>度</w:t>
      </w:r>
      <w:r>
        <w:rPr>
          <w:rFonts w:hint="eastAsia" w:ascii="仿宋" w:hAnsi="仿宋" w:eastAsia="仿宋" w:cs="仿宋"/>
          <w:color w:val="auto"/>
          <w:spacing w:val="-9"/>
          <w:sz w:val="32"/>
          <w:szCs w:val="32"/>
        </w:rPr>
        <w:t>共</w:t>
      </w:r>
      <w:r>
        <w:rPr>
          <w:rFonts w:hint="eastAsia" w:ascii="仿宋" w:hAnsi="仿宋" w:eastAsia="仿宋" w:cs="仿宋"/>
          <w:color w:val="auto"/>
          <w:spacing w:val="-9"/>
          <w:sz w:val="32"/>
          <w:szCs w:val="32"/>
          <w:lang w:val="en-US" w:eastAsia="zh-CN"/>
        </w:rPr>
        <w:t>需转运</w:t>
      </w:r>
      <w:r>
        <w:rPr>
          <w:rFonts w:hint="eastAsia" w:ascii="仿宋" w:hAnsi="仿宋" w:eastAsia="仿宋" w:cs="仿宋"/>
          <w:color w:val="auto"/>
          <w:spacing w:val="-9"/>
          <w:sz w:val="32"/>
          <w:szCs w:val="32"/>
        </w:rPr>
        <w:t>二次转运站</w:t>
      </w:r>
      <w:r>
        <w:rPr>
          <w:rFonts w:hint="eastAsia" w:ascii="仿宋" w:hAnsi="仿宋" w:eastAsia="仿宋" w:cs="仿宋"/>
          <w:color w:val="auto"/>
          <w:spacing w:val="-9"/>
          <w:sz w:val="32"/>
          <w:szCs w:val="32"/>
          <w:lang w:val="en-US" w:eastAsia="zh-CN"/>
        </w:rPr>
        <w:t>生活垃圾，每天800吨，全年29.20万吨。</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04" w:firstLineChars="200"/>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项目完成质量：</w:t>
      </w:r>
      <w:r>
        <w:rPr>
          <w:rFonts w:hint="eastAsia" w:ascii="仿宋" w:hAnsi="仿宋" w:eastAsia="仿宋" w:cs="仿宋"/>
          <w:color w:val="auto"/>
          <w:spacing w:val="-9"/>
          <w:sz w:val="32"/>
          <w:szCs w:val="32"/>
          <w:lang w:val="en-US" w:eastAsia="zh-CN"/>
        </w:rPr>
        <w:t>全面</w:t>
      </w:r>
      <w:r>
        <w:rPr>
          <w:rFonts w:hint="eastAsia" w:ascii="仿宋" w:hAnsi="仿宋" w:eastAsia="仿宋" w:cs="仿宋"/>
          <w:color w:val="auto"/>
          <w:spacing w:val="-9"/>
          <w:sz w:val="32"/>
          <w:szCs w:val="32"/>
        </w:rPr>
        <w:t>提</w:t>
      </w:r>
      <w:r>
        <w:rPr>
          <w:rFonts w:hint="eastAsia" w:ascii="仿宋" w:hAnsi="仿宋" w:eastAsia="仿宋" w:cs="仿宋"/>
          <w:color w:val="auto"/>
          <w:spacing w:val="-9"/>
          <w:sz w:val="32"/>
          <w:szCs w:val="32"/>
          <w:lang w:val="en-US" w:eastAsia="zh-CN"/>
        </w:rPr>
        <w:t>升信阳市区</w:t>
      </w:r>
      <w:r>
        <w:rPr>
          <w:rFonts w:hint="eastAsia" w:ascii="仿宋" w:hAnsi="仿宋" w:eastAsia="仿宋" w:cs="仿宋"/>
          <w:color w:val="auto"/>
          <w:spacing w:val="-9"/>
          <w:sz w:val="32"/>
          <w:szCs w:val="32"/>
        </w:rPr>
        <w:t>环境卫生质量，加强</w:t>
      </w:r>
      <w:r>
        <w:rPr>
          <w:rFonts w:hint="eastAsia" w:ascii="仿宋" w:hAnsi="仿宋" w:eastAsia="仿宋" w:cs="仿宋"/>
          <w:color w:val="auto"/>
          <w:spacing w:val="-9"/>
          <w:sz w:val="32"/>
          <w:szCs w:val="32"/>
          <w:lang w:val="en-US" w:eastAsia="zh-CN"/>
        </w:rPr>
        <w:t>城区</w:t>
      </w:r>
      <w:r>
        <w:rPr>
          <w:rFonts w:hint="eastAsia" w:ascii="仿宋" w:hAnsi="仿宋" w:eastAsia="仿宋" w:cs="仿宋"/>
          <w:color w:val="auto"/>
          <w:spacing w:val="-9"/>
          <w:sz w:val="32"/>
          <w:szCs w:val="32"/>
        </w:rPr>
        <w:t>生活垃圾分类、无害化处置，确保垃圾转运处置工作正常进行，并符合环保要求、</w:t>
      </w:r>
      <w:r>
        <w:rPr>
          <w:rFonts w:hint="eastAsia" w:ascii="仿宋" w:hAnsi="仿宋" w:eastAsia="仿宋" w:cs="仿宋"/>
          <w:color w:val="auto"/>
          <w:spacing w:val="-9"/>
          <w:sz w:val="32"/>
          <w:szCs w:val="32"/>
          <w:lang w:val="en-US" w:eastAsia="zh-CN"/>
        </w:rPr>
        <w:t>确保生活垃圾</w:t>
      </w:r>
      <w:r>
        <w:rPr>
          <w:rFonts w:hint="eastAsia" w:ascii="仿宋" w:hAnsi="仿宋" w:eastAsia="仿宋" w:cs="仿宋"/>
          <w:color w:val="auto"/>
          <w:spacing w:val="-9"/>
          <w:sz w:val="32"/>
          <w:szCs w:val="32"/>
        </w:rPr>
        <w:t>日产日清。</w:t>
      </w:r>
    </w:p>
    <w:p>
      <w:pPr>
        <w:spacing w:line="360" w:lineRule="auto"/>
        <w:ind w:firstLine="631" w:firstLineChars="200"/>
        <w:outlineLvl w:val="0"/>
        <w:rPr>
          <w:rFonts w:hint="eastAsia" w:ascii="仿宋" w:hAnsi="仿宋" w:eastAsia="仿宋" w:cs="仿宋"/>
          <w:b/>
          <w:bCs/>
          <w:color w:val="auto"/>
          <w:sz w:val="32"/>
          <w:szCs w:val="32"/>
        </w:rPr>
      </w:pPr>
      <w:bookmarkStart w:id="9" w:name="_Toc32447"/>
      <w:r>
        <w:rPr>
          <w:rFonts w:hint="eastAsia" w:ascii="仿宋" w:hAnsi="仿宋" w:eastAsia="仿宋" w:cs="仿宋"/>
          <w:b/>
          <w:bCs/>
          <w:color w:val="auto"/>
          <w:spacing w:val="-3"/>
          <w:sz w:val="32"/>
          <w:szCs w:val="32"/>
        </w:rPr>
        <w:t>二、绩效自评情况</w:t>
      </w:r>
      <w:bookmarkEnd w:id="9"/>
    </w:p>
    <w:p>
      <w:pPr>
        <w:spacing w:line="360" w:lineRule="auto"/>
        <w:ind w:firstLine="604" w:firstLineChars="200"/>
        <w:rPr>
          <w:rFonts w:hint="eastAsia" w:ascii="仿宋" w:hAnsi="仿宋" w:eastAsia="仿宋" w:cs="仿宋"/>
          <w:color w:val="auto"/>
          <w:spacing w:val="-9"/>
          <w:kern w:val="0"/>
          <w:sz w:val="32"/>
          <w:szCs w:val="32"/>
          <w:lang w:val="en-US" w:eastAsia="zh-CN" w:bidi="ar"/>
        </w:rPr>
      </w:pPr>
      <w:r>
        <w:rPr>
          <w:rFonts w:hint="eastAsia" w:ascii="仿宋" w:hAnsi="仿宋" w:eastAsia="仿宋" w:cs="仿宋"/>
          <w:color w:val="auto"/>
          <w:spacing w:val="-9"/>
          <w:kern w:val="0"/>
          <w:sz w:val="32"/>
          <w:szCs w:val="32"/>
          <w:lang w:val="en-US" w:eastAsia="zh-CN" w:bidi="ar"/>
        </w:rPr>
        <w:t>信阳市城市管理局环卫处对2021年度城区生活垃圾二次转运项目经费绩效自评总分值100分，自评指标体系由其根据各分项目及指标的重要程度，设置了各级指标分值。其中：产出指标50分、效益指标30分、满意度指标10分，另加项目预算资金执行率10分；</w:t>
      </w:r>
    </w:p>
    <w:p>
      <w:pPr>
        <w:spacing w:line="360" w:lineRule="auto"/>
        <w:ind w:firstLine="604" w:firstLineChars="200"/>
        <w:rPr>
          <w:rFonts w:hint="eastAsia" w:ascii="仿宋" w:hAnsi="仿宋" w:eastAsia="仿宋" w:cs="仿宋"/>
          <w:color w:val="auto"/>
          <w:spacing w:val="-9"/>
          <w:kern w:val="0"/>
          <w:sz w:val="32"/>
          <w:szCs w:val="32"/>
          <w:lang w:val="en-US" w:eastAsia="zh-CN" w:bidi="ar"/>
        </w:rPr>
      </w:pPr>
      <w:r>
        <w:rPr>
          <w:rFonts w:hint="eastAsia" w:ascii="仿宋" w:hAnsi="仿宋" w:eastAsia="仿宋" w:cs="仿宋"/>
          <w:color w:val="auto"/>
          <w:spacing w:val="-9"/>
          <w:kern w:val="0"/>
          <w:sz w:val="32"/>
          <w:szCs w:val="32"/>
          <w:lang w:val="en-US" w:eastAsia="zh-CN" w:bidi="ar"/>
        </w:rPr>
        <w:t>经过自评，各分项目及相应指标均全部完成，总分100分，自评得100分，其中：一级产出指标总分50分，得50分；一级效益指标总分30分，得分30分；满意度指标总分10分，得10分；预算资金全部到位，执行率100%，总分10分，得10分。</w:t>
      </w:r>
    </w:p>
    <w:p>
      <w:pPr>
        <w:spacing w:line="360" w:lineRule="auto"/>
        <w:ind w:firstLine="643" w:firstLineChars="200"/>
        <w:outlineLvl w:val="0"/>
        <w:rPr>
          <w:rFonts w:hint="eastAsia" w:ascii="仿宋" w:hAnsi="仿宋" w:eastAsia="仿宋" w:cs="仿宋"/>
          <w:b/>
          <w:bCs/>
          <w:sz w:val="32"/>
          <w:szCs w:val="32"/>
        </w:rPr>
      </w:pPr>
      <w:bookmarkStart w:id="10" w:name="_Toc18788"/>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、绩效评价工作情况</w:t>
      </w:r>
      <w:bookmarkEnd w:id="10"/>
    </w:p>
    <w:p>
      <w:pPr>
        <w:spacing w:line="360" w:lineRule="auto"/>
        <w:ind w:firstLine="643" w:firstLineChars="200"/>
        <w:outlineLvl w:val="1"/>
        <w:rPr>
          <w:rFonts w:hint="eastAsia" w:ascii="仿宋" w:hAnsi="仿宋" w:eastAsia="仿宋" w:cs="仿宋"/>
          <w:sz w:val="32"/>
          <w:szCs w:val="32"/>
        </w:rPr>
      </w:pPr>
      <w:bookmarkStart w:id="11" w:name="_Toc27256"/>
      <w:r>
        <w:rPr>
          <w:rFonts w:hint="eastAsia" w:ascii="仿宋" w:hAnsi="仿宋" w:eastAsia="仿宋" w:cs="仿宋"/>
          <w:b/>
          <w:bCs/>
          <w:sz w:val="32"/>
          <w:szCs w:val="32"/>
        </w:rPr>
        <w:t>（一）绩效评价目的</w:t>
      </w:r>
      <w:bookmarkEnd w:id="11"/>
    </w:p>
    <w:p>
      <w:pPr>
        <w:spacing w:line="360" w:lineRule="auto"/>
        <w:ind w:firstLine="604" w:firstLineChars="200"/>
        <w:rPr>
          <w:rFonts w:hint="eastAsia" w:ascii="仿宋" w:hAnsi="仿宋" w:eastAsia="仿宋" w:cs="仿宋"/>
          <w:color w:val="auto"/>
          <w:spacing w:val="-9"/>
          <w:kern w:val="0"/>
          <w:sz w:val="32"/>
          <w:szCs w:val="32"/>
          <w:lang w:val="en-US" w:eastAsia="zh-CN" w:bidi="ar"/>
        </w:rPr>
      </w:pPr>
      <w:r>
        <w:rPr>
          <w:rFonts w:hint="eastAsia" w:ascii="仿宋" w:hAnsi="仿宋" w:eastAsia="仿宋" w:cs="仿宋"/>
          <w:color w:val="auto"/>
          <w:spacing w:val="-9"/>
          <w:kern w:val="0"/>
          <w:sz w:val="32"/>
          <w:szCs w:val="32"/>
          <w:lang w:val="en-US" w:eastAsia="zh-CN" w:bidi="ar"/>
        </w:rPr>
        <w:t>为全面了解项目决策是否正确、项目管理是否规范、产出目标是否完成以及效果目标是否实现等方面的内容，及时总结经验，查找不足，并在此基础上，重点分析项目预算编制的合理性、成本支出的真实性和控制有效性，评价财政资金的使用效率和效果，为以后年度编制项目预算提供可靠、有效的参考依据。</w:t>
      </w:r>
    </w:p>
    <w:p>
      <w:pPr>
        <w:spacing w:line="360" w:lineRule="auto"/>
        <w:ind w:firstLine="643" w:firstLineChars="200"/>
        <w:outlineLvl w:val="1"/>
        <w:rPr>
          <w:rFonts w:hint="eastAsia" w:ascii="仿宋" w:hAnsi="仿宋" w:eastAsia="仿宋" w:cs="仿宋"/>
          <w:b/>
          <w:bCs/>
          <w:color w:val="auto"/>
          <w:sz w:val="32"/>
          <w:szCs w:val="32"/>
        </w:rPr>
      </w:pPr>
      <w:bookmarkStart w:id="12" w:name="_Toc8610"/>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）绩效评价实施过程</w:t>
      </w:r>
      <w:bookmarkEnd w:id="12"/>
    </w:p>
    <w:p>
      <w:pPr>
        <w:spacing w:line="360" w:lineRule="auto"/>
        <w:ind w:firstLine="643" w:firstLineChars="200"/>
        <w:outlineLvl w:val="2"/>
        <w:rPr>
          <w:rFonts w:hint="eastAsia" w:ascii="仿宋" w:hAnsi="仿宋" w:eastAsia="仿宋" w:cs="仿宋"/>
          <w:b/>
          <w:bCs/>
          <w:sz w:val="32"/>
          <w:szCs w:val="32"/>
        </w:rPr>
      </w:pPr>
      <w:bookmarkStart w:id="13" w:name="_Toc6244"/>
      <w:r>
        <w:rPr>
          <w:rFonts w:hint="eastAsia" w:ascii="仿宋" w:hAnsi="仿宋" w:eastAsia="仿宋" w:cs="仿宋"/>
          <w:b/>
          <w:bCs/>
          <w:sz w:val="32"/>
          <w:szCs w:val="32"/>
        </w:rPr>
        <w:t>1.数据</w:t>
      </w:r>
      <w:r>
        <w:rPr>
          <w:rFonts w:hint="eastAsia" w:ascii="仿宋" w:hAnsi="仿宋" w:eastAsia="仿宋" w:cs="仿宋"/>
          <w:b/>
          <w:bCs/>
          <w:sz w:val="32"/>
          <w:szCs w:val="32"/>
          <w:lang w:val="en-US" w:eastAsia="zh-CN"/>
        </w:rPr>
        <w:t>收</w:t>
      </w:r>
      <w:r>
        <w:rPr>
          <w:rFonts w:hint="eastAsia" w:ascii="仿宋" w:hAnsi="仿宋" w:eastAsia="仿宋" w:cs="仿宋"/>
          <w:b/>
          <w:bCs/>
          <w:sz w:val="32"/>
          <w:szCs w:val="32"/>
        </w:rPr>
        <w:t>集</w:t>
      </w:r>
      <w:bookmarkEnd w:id="13"/>
    </w:p>
    <w:p>
      <w:pPr>
        <w:spacing w:line="360" w:lineRule="auto"/>
        <w:ind w:firstLine="604" w:firstLineChars="200"/>
        <w:rPr>
          <w:rFonts w:hint="eastAsia" w:ascii="仿宋" w:hAnsi="仿宋" w:eastAsia="仿宋" w:cs="仿宋"/>
          <w:color w:val="auto"/>
          <w:spacing w:val="-9"/>
          <w:kern w:val="0"/>
          <w:sz w:val="32"/>
          <w:szCs w:val="32"/>
          <w:lang w:val="en-US" w:eastAsia="zh-CN" w:bidi="ar"/>
        </w:rPr>
      </w:pPr>
      <w:r>
        <w:rPr>
          <w:rFonts w:hint="eastAsia" w:ascii="仿宋" w:hAnsi="仿宋" w:eastAsia="仿宋" w:cs="仿宋"/>
          <w:color w:val="auto"/>
          <w:spacing w:val="-9"/>
          <w:kern w:val="0"/>
          <w:sz w:val="32"/>
          <w:szCs w:val="32"/>
          <w:lang w:val="en-US" w:eastAsia="zh-CN" w:bidi="ar"/>
        </w:rPr>
        <w:t>向项目实施单位收集相关项目实施进度资料、项目实施情况、完成情况，结合项目现场核实和查阅台账等结果资料进行分析整理。</w:t>
      </w:r>
    </w:p>
    <w:p>
      <w:pPr>
        <w:numPr>
          <w:ilvl w:val="0"/>
          <w:numId w:val="0"/>
        </w:numPr>
        <w:spacing w:line="360" w:lineRule="auto"/>
        <w:ind w:firstLine="643" w:firstLineChars="200"/>
        <w:outlineLvl w:val="2"/>
        <w:rPr>
          <w:rFonts w:hint="eastAsia" w:ascii="仿宋" w:hAnsi="仿宋" w:eastAsia="仿宋" w:cs="仿宋"/>
          <w:b/>
          <w:bCs/>
          <w:sz w:val="32"/>
          <w:szCs w:val="32"/>
        </w:rPr>
      </w:pPr>
      <w:bookmarkStart w:id="14" w:name="_Toc20830"/>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社会调查</w:t>
      </w:r>
      <w:bookmarkEnd w:id="14"/>
    </w:p>
    <w:p>
      <w:pPr>
        <w:spacing w:line="360" w:lineRule="auto"/>
        <w:ind w:firstLine="604" w:firstLineChars="200"/>
        <w:rPr>
          <w:rFonts w:hint="eastAsia" w:ascii="仿宋" w:hAnsi="仿宋" w:eastAsia="仿宋" w:cs="仿宋"/>
          <w:color w:val="auto"/>
          <w:spacing w:val="-9"/>
          <w:kern w:val="0"/>
          <w:sz w:val="32"/>
          <w:szCs w:val="32"/>
          <w:lang w:val="en-US" w:eastAsia="zh-CN" w:bidi="ar"/>
        </w:rPr>
      </w:pPr>
      <w:r>
        <w:rPr>
          <w:rFonts w:hint="eastAsia" w:ascii="仿宋" w:hAnsi="仿宋" w:eastAsia="仿宋" w:cs="仿宋"/>
          <w:color w:val="auto"/>
          <w:spacing w:val="-9"/>
          <w:kern w:val="0"/>
          <w:sz w:val="32"/>
          <w:szCs w:val="32"/>
          <w:lang w:val="en-US" w:eastAsia="zh-CN" w:bidi="ar"/>
        </w:rPr>
        <w:t>为充分了解社会公众和项目参与各方信阳市生活垃圾二次转运项目的实施情况、实施效果和对项目的满意度情况及项目实施对周边环境的影响程度等，评价组制定了两类调查问卷。</w:t>
      </w:r>
    </w:p>
    <w:p>
      <w:pPr>
        <w:spacing w:line="360" w:lineRule="auto"/>
        <w:ind w:firstLine="643" w:firstLineChars="200"/>
        <w:rPr>
          <w:rFonts w:hint="eastAsia" w:ascii="仿宋" w:hAnsi="仿宋" w:eastAsia="仿宋" w:cs="仿宋"/>
          <w:color w:val="auto"/>
          <w:spacing w:val="-9"/>
          <w:kern w:val="0"/>
          <w:sz w:val="32"/>
          <w:szCs w:val="32"/>
          <w:lang w:val="en-US" w:eastAsia="zh-CN" w:bidi="ar"/>
        </w:rPr>
      </w:pPr>
      <w:r>
        <w:rPr>
          <w:rFonts w:hint="eastAsia" w:ascii="仿宋" w:hAnsi="仿宋" w:eastAsia="仿宋" w:cs="仿宋"/>
          <w:b/>
          <w:bCs/>
          <w:color w:val="auto"/>
          <w:sz w:val="32"/>
          <w:szCs w:val="32"/>
          <w:highlight w:val="none"/>
          <w:lang w:val="en-US" w:eastAsia="zh-CN"/>
        </w:rPr>
        <w:t>一类是</w:t>
      </w:r>
      <w:r>
        <w:rPr>
          <w:rFonts w:hint="eastAsia" w:ascii="仿宋" w:hAnsi="仿宋" w:eastAsia="仿宋" w:cs="仿宋"/>
          <w:b/>
          <w:bCs/>
          <w:color w:val="auto"/>
          <w:sz w:val="32"/>
          <w:szCs w:val="32"/>
          <w:highlight w:val="none"/>
        </w:rPr>
        <w:t>对</w:t>
      </w:r>
      <w:r>
        <w:rPr>
          <w:rFonts w:hint="eastAsia" w:ascii="仿宋" w:hAnsi="仿宋" w:eastAsia="仿宋" w:cs="仿宋"/>
          <w:b/>
          <w:bCs/>
          <w:color w:val="auto"/>
          <w:sz w:val="32"/>
          <w:szCs w:val="32"/>
          <w:highlight w:val="none"/>
          <w:lang w:val="en-US" w:eastAsia="zh-CN"/>
        </w:rPr>
        <w:t>社会</w:t>
      </w:r>
      <w:r>
        <w:rPr>
          <w:rFonts w:hint="eastAsia" w:ascii="仿宋" w:hAnsi="仿宋" w:eastAsia="仿宋" w:cs="仿宋"/>
          <w:b/>
          <w:bCs/>
          <w:color w:val="auto"/>
          <w:sz w:val="32"/>
          <w:szCs w:val="32"/>
          <w:highlight w:val="none"/>
        </w:rPr>
        <w:t>群众进行</w:t>
      </w:r>
      <w:r>
        <w:rPr>
          <w:rFonts w:hint="eastAsia" w:ascii="仿宋" w:hAnsi="仿宋" w:eastAsia="仿宋" w:cs="仿宋"/>
          <w:b/>
          <w:bCs/>
          <w:color w:val="auto"/>
          <w:sz w:val="32"/>
          <w:szCs w:val="32"/>
          <w:highlight w:val="none"/>
          <w:lang w:eastAsia="zh-CN"/>
        </w:rPr>
        <w:t>的</w:t>
      </w:r>
      <w:r>
        <w:rPr>
          <w:rFonts w:hint="eastAsia" w:ascii="仿宋" w:hAnsi="仿宋" w:eastAsia="仿宋" w:cs="仿宋"/>
          <w:b/>
          <w:bCs/>
          <w:color w:val="auto"/>
          <w:sz w:val="32"/>
          <w:szCs w:val="32"/>
          <w:highlight w:val="none"/>
        </w:rPr>
        <w:t>调查问卷。</w:t>
      </w:r>
      <w:r>
        <w:rPr>
          <w:rFonts w:hint="eastAsia" w:ascii="仿宋" w:hAnsi="仿宋" w:eastAsia="仿宋" w:cs="仿宋"/>
          <w:b/>
          <w:bCs/>
          <w:color w:val="auto"/>
          <w:sz w:val="32"/>
          <w:szCs w:val="32"/>
          <w:highlight w:val="none"/>
          <w:lang w:val="en-US" w:eastAsia="zh-CN"/>
        </w:rPr>
        <w:t>另一类是</w:t>
      </w:r>
      <w:r>
        <w:rPr>
          <w:rFonts w:hint="eastAsia" w:ascii="仿宋" w:hAnsi="仿宋" w:eastAsia="仿宋" w:cs="仿宋"/>
          <w:b/>
          <w:bCs/>
          <w:color w:val="auto"/>
          <w:sz w:val="32"/>
          <w:szCs w:val="32"/>
          <w:highlight w:val="none"/>
        </w:rPr>
        <w:t>对</w:t>
      </w:r>
      <w:r>
        <w:rPr>
          <w:rFonts w:hint="eastAsia" w:ascii="仿宋" w:hAnsi="仿宋" w:eastAsia="仿宋" w:cs="仿宋"/>
          <w:b/>
          <w:bCs/>
          <w:color w:val="auto"/>
          <w:sz w:val="32"/>
          <w:szCs w:val="32"/>
          <w:highlight w:val="none"/>
          <w:lang w:val="en-US" w:eastAsia="zh-CN"/>
        </w:rPr>
        <w:t>项目参与各方</w:t>
      </w:r>
      <w:r>
        <w:rPr>
          <w:rFonts w:hint="eastAsia" w:ascii="仿宋" w:hAnsi="仿宋" w:eastAsia="仿宋" w:cs="仿宋"/>
          <w:b/>
          <w:bCs/>
          <w:color w:val="auto"/>
          <w:sz w:val="32"/>
          <w:szCs w:val="32"/>
          <w:highlight w:val="none"/>
        </w:rPr>
        <w:t>进行</w:t>
      </w:r>
      <w:r>
        <w:rPr>
          <w:rFonts w:hint="eastAsia" w:ascii="仿宋" w:hAnsi="仿宋" w:eastAsia="仿宋" w:cs="仿宋"/>
          <w:b/>
          <w:bCs/>
          <w:color w:val="auto"/>
          <w:sz w:val="32"/>
          <w:szCs w:val="32"/>
          <w:highlight w:val="none"/>
          <w:lang w:eastAsia="zh-CN"/>
        </w:rPr>
        <w:t>的</w:t>
      </w:r>
      <w:r>
        <w:rPr>
          <w:rFonts w:hint="eastAsia" w:ascii="仿宋" w:hAnsi="仿宋" w:eastAsia="仿宋" w:cs="仿宋"/>
          <w:b/>
          <w:bCs/>
          <w:color w:val="auto"/>
          <w:sz w:val="32"/>
          <w:szCs w:val="32"/>
          <w:highlight w:val="none"/>
        </w:rPr>
        <w:t>调查问卷。</w:t>
      </w:r>
      <w:r>
        <w:rPr>
          <w:rFonts w:hint="eastAsia" w:ascii="仿宋" w:hAnsi="仿宋" w:eastAsia="仿宋" w:cs="仿宋"/>
          <w:b w:val="0"/>
          <w:bCs w:val="0"/>
          <w:color w:val="auto"/>
          <w:sz w:val="32"/>
          <w:szCs w:val="32"/>
          <w:highlight w:val="none"/>
          <w:lang w:val="en-US" w:eastAsia="zh-CN"/>
        </w:rPr>
        <w:t>受</w:t>
      </w:r>
      <w:r>
        <w:rPr>
          <w:rFonts w:hint="eastAsia" w:ascii="仿宋" w:hAnsi="仿宋" w:eastAsia="仿宋" w:cs="仿宋"/>
          <w:color w:val="auto"/>
          <w:spacing w:val="-9"/>
          <w:kern w:val="0"/>
          <w:sz w:val="32"/>
          <w:szCs w:val="32"/>
          <w:lang w:val="en-US" w:eastAsia="zh-CN" w:bidi="ar"/>
        </w:rPr>
        <w:t>疫情影响，通过电子问卷方式由城管局环卫处协助发放，问卷共设置15个问题，分别对应优、良、中、差四个等级，问卷满意度为全部有效问卷相加后的算术平均分。</w:t>
      </w:r>
    </w:p>
    <w:p>
      <w:pPr>
        <w:numPr>
          <w:ilvl w:val="0"/>
          <w:numId w:val="0"/>
        </w:numPr>
        <w:spacing w:line="360" w:lineRule="auto"/>
        <w:ind w:firstLine="643" w:firstLineChars="200"/>
        <w:outlineLvl w:val="2"/>
        <w:rPr>
          <w:rFonts w:hint="eastAsia" w:ascii="仿宋" w:hAnsi="仿宋" w:eastAsia="仿宋" w:cs="仿宋"/>
          <w:b/>
          <w:bCs/>
          <w:sz w:val="32"/>
          <w:szCs w:val="32"/>
        </w:rPr>
      </w:pPr>
      <w:bookmarkStart w:id="15" w:name="_Toc27488"/>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数据分析和撰写报告</w:t>
      </w:r>
      <w:bookmarkEnd w:id="15"/>
    </w:p>
    <w:p>
      <w:pPr>
        <w:spacing w:line="360" w:lineRule="auto"/>
        <w:ind w:firstLine="604" w:firstLineChars="200"/>
        <w:rPr>
          <w:rFonts w:hint="eastAsia" w:ascii="仿宋" w:hAnsi="仿宋" w:eastAsia="仿宋" w:cs="仿宋"/>
          <w:color w:val="auto"/>
          <w:spacing w:val="-9"/>
          <w:kern w:val="0"/>
          <w:sz w:val="32"/>
          <w:szCs w:val="32"/>
          <w:lang w:val="en-US" w:eastAsia="zh-CN" w:bidi="ar"/>
        </w:rPr>
      </w:pPr>
      <w:r>
        <w:rPr>
          <w:rFonts w:hint="eastAsia" w:ascii="仿宋" w:hAnsi="仿宋" w:eastAsia="仿宋" w:cs="仿宋"/>
          <w:color w:val="auto"/>
          <w:spacing w:val="-9"/>
          <w:kern w:val="0"/>
          <w:sz w:val="32"/>
          <w:szCs w:val="32"/>
          <w:lang w:val="en-US" w:eastAsia="zh-CN" w:bidi="ar"/>
        </w:rPr>
        <w:t>将项目主管单位、实施单位提供的数据，结合现场勘查和问卷调查采集到的基础数据，通过分析整理对应考核指标从项目立项、绩效目标、投入管理、财务管理、项目实施、项目产出、项目效益等方面逐项考核，并梳理总结相关项目单位的主要经验及做法及存在问题，对应问题给予建议和改进措施，形成最终绩效评价报告。</w:t>
      </w:r>
    </w:p>
    <w:p>
      <w:pPr>
        <w:spacing w:line="360" w:lineRule="auto"/>
        <w:ind w:firstLine="643" w:firstLineChars="200"/>
        <w:outlineLvl w:val="0"/>
        <w:rPr>
          <w:rFonts w:hint="eastAsia" w:ascii="仿宋" w:hAnsi="仿宋" w:eastAsia="仿宋" w:cs="仿宋"/>
          <w:b/>
          <w:bCs/>
          <w:sz w:val="32"/>
          <w:szCs w:val="32"/>
        </w:rPr>
      </w:pPr>
      <w:bookmarkStart w:id="16" w:name="_Toc14454"/>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、评价结论和绩效分析</w:t>
      </w:r>
      <w:bookmarkEnd w:id="16"/>
    </w:p>
    <w:p>
      <w:pPr>
        <w:spacing w:line="360" w:lineRule="auto"/>
        <w:ind w:firstLine="643" w:firstLineChars="200"/>
        <w:outlineLvl w:val="1"/>
        <w:rPr>
          <w:rFonts w:hint="eastAsia" w:ascii="仿宋" w:hAnsi="仿宋" w:eastAsia="仿宋" w:cs="仿宋"/>
          <w:b/>
          <w:bCs/>
          <w:sz w:val="32"/>
          <w:szCs w:val="32"/>
        </w:rPr>
      </w:pPr>
      <w:bookmarkStart w:id="17" w:name="_Toc531"/>
      <w:r>
        <w:rPr>
          <w:rFonts w:hint="eastAsia" w:ascii="仿宋" w:hAnsi="仿宋" w:eastAsia="仿宋" w:cs="仿宋"/>
          <w:b/>
          <w:bCs/>
          <w:sz w:val="32"/>
          <w:szCs w:val="32"/>
        </w:rPr>
        <w:t>（一）评价结论</w:t>
      </w:r>
      <w:bookmarkEnd w:id="17"/>
    </w:p>
    <w:p>
      <w:pPr>
        <w:spacing w:line="360" w:lineRule="auto"/>
        <w:ind w:firstLine="604" w:firstLineChars="200"/>
        <w:rPr>
          <w:rFonts w:hint="eastAsia" w:ascii="仿宋" w:hAnsi="仿宋" w:eastAsia="仿宋" w:cs="仿宋"/>
          <w:color w:val="auto"/>
          <w:spacing w:val="-9"/>
          <w:kern w:val="0"/>
          <w:sz w:val="32"/>
          <w:szCs w:val="32"/>
          <w:lang w:val="en-US" w:eastAsia="zh-CN" w:bidi="ar"/>
        </w:rPr>
      </w:pPr>
      <w:r>
        <w:rPr>
          <w:rFonts w:hint="eastAsia" w:ascii="仿宋" w:hAnsi="仿宋" w:eastAsia="仿宋" w:cs="仿宋"/>
          <w:color w:val="auto"/>
          <w:spacing w:val="-9"/>
          <w:kern w:val="0"/>
          <w:sz w:val="32"/>
          <w:szCs w:val="32"/>
          <w:lang w:val="en-US" w:eastAsia="zh-CN" w:bidi="ar"/>
        </w:rPr>
        <w:t>本次绩效评价由本所项目组设计评价指标体系及评分标准。通过查阅资料、数据采集、问卷调查及访谈，对信阳市生活垃圾二次转运项目绩效进行客观评价，最终评价结果为86分， 绩效评级为“良”。各部分权重和绩效分值详见表3。</w:t>
      </w:r>
    </w:p>
    <w:p>
      <w:pPr>
        <w:jc w:val="center"/>
        <w:rPr>
          <w:rFonts w:hint="eastAsia" w:ascii="仿宋" w:hAnsi="仿宋" w:eastAsia="仿宋" w:cs="仿宋"/>
          <w:sz w:val="32"/>
          <w:szCs w:val="32"/>
        </w:rPr>
      </w:pPr>
      <w:r>
        <w:rPr>
          <w:rFonts w:hint="eastAsia" w:ascii="仿宋" w:hAnsi="仿宋" w:eastAsia="仿宋" w:cs="仿宋"/>
          <w:sz w:val="32"/>
          <w:szCs w:val="32"/>
        </w:rPr>
        <w:t>表</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绩效评分汇总表</w:t>
      </w:r>
    </w:p>
    <w:tbl>
      <w:tblPr>
        <w:tblStyle w:val="10"/>
        <w:tblW w:w="8056" w:type="dxa"/>
        <w:tblInd w:w="0" w:type="dxa"/>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70"/>
        <w:gridCol w:w="2253"/>
        <w:gridCol w:w="1860"/>
        <w:gridCol w:w="2273"/>
      </w:tblGrid>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 w:hRule="atLeast"/>
        </w:trPr>
        <w:tc>
          <w:tcPr>
            <w:tcW w:w="1670" w:type="dxa"/>
            <w:tcBorders>
              <w:top w:val="single" w:color="000000" w:sz="2" w:space="0"/>
              <w:left w:val="single" w:color="000000" w:sz="2" w:space="0"/>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Style w:val="13"/>
                <w:rFonts w:hint="eastAsia" w:ascii="仿宋" w:hAnsi="仿宋" w:eastAsia="仿宋" w:cs="仿宋"/>
                <w:b/>
                <w:bCs/>
                <w:i w:val="0"/>
                <w:iCs w:val="0"/>
                <w:caps w:val="0"/>
                <w:color w:val="525252"/>
                <w:spacing w:val="0"/>
                <w:sz w:val="32"/>
                <w:szCs w:val="32"/>
              </w:rPr>
              <w:t>一级指标</w:t>
            </w:r>
          </w:p>
        </w:tc>
        <w:tc>
          <w:tcPr>
            <w:tcW w:w="2253" w:type="dxa"/>
            <w:tcBorders>
              <w:top w:val="single" w:color="000000" w:sz="2" w:space="0"/>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Style w:val="13"/>
                <w:rFonts w:hint="eastAsia" w:ascii="仿宋" w:hAnsi="仿宋" w:eastAsia="仿宋" w:cs="仿宋"/>
                <w:b/>
                <w:bCs/>
                <w:i w:val="0"/>
                <w:iCs w:val="0"/>
                <w:caps w:val="0"/>
                <w:color w:val="525252"/>
                <w:spacing w:val="0"/>
                <w:sz w:val="32"/>
                <w:szCs w:val="32"/>
              </w:rPr>
              <w:t>指标分值</w:t>
            </w:r>
          </w:p>
        </w:tc>
        <w:tc>
          <w:tcPr>
            <w:tcW w:w="1860" w:type="dxa"/>
            <w:tcBorders>
              <w:top w:val="single" w:color="000000" w:sz="2" w:space="0"/>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Style w:val="13"/>
                <w:rFonts w:hint="eastAsia" w:ascii="仿宋" w:hAnsi="仿宋" w:eastAsia="仿宋" w:cs="仿宋"/>
                <w:b/>
                <w:bCs/>
                <w:i w:val="0"/>
                <w:iCs w:val="0"/>
                <w:caps w:val="0"/>
                <w:color w:val="525252"/>
                <w:spacing w:val="0"/>
                <w:sz w:val="32"/>
                <w:szCs w:val="32"/>
              </w:rPr>
              <w:t>评价得分</w:t>
            </w:r>
          </w:p>
        </w:tc>
        <w:tc>
          <w:tcPr>
            <w:tcW w:w="2273" w:type="dxa"/>
            <w:tcBorders>
              <w:top w:val="single" w:color="000000" w:sz="2" w:space="0"/>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Style w:val="13"/>
                <w:rFonts w:hint="eastAsia" w:ascii="仿宋" w:hAnsi="仿宋" w:eastAsia="仿宋" w:cs="仿宋"/>
                <w:b/>
                <w:bCs/>
                <w:i w:val="0"/>
                <w:iCs w:val="0"/>
                <w:caps w:val="0"/>
                <w:color w:val="525252"/>
                <w:spacing w:val="0"/>
                <w:sz w:val="32"/>
                <w:szCs w:val="32"/>
              </w:rPr>
              <w:t>得分率</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1670" w:type="dxa"/>
            <w:tcBorders>
              <w:top w:val="nil"/>
              <w:left w:val="single" w:color="000000" w:sz="2" w:space="0"/>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rPr>
              <w:t>项目决策</w:t>
            </w:r>
          </w:p>
        </w:tc>
        <w:tc>
          <w:tcPr>
            <w:tcW w:w="2253"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rPr>
              <w:t>20</w:t>
            </w:r>
          </w:p>
        </w:tc>
        <w:tc>
          <w:tcPr>
            <w:tcW w:w="1860"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lang w:val="en-US" w:eastAsia="zh-CN"/>
              </w:rPr>
            </w:pPr>
            <w:r>
              <w:rPr>
                <w:rFonts w:hint="eastAsia" w:ascii="仿宋" w:hAnsi="仿宋" w:eastAsia="仿宋" w:cs="仿宋"/>
                <w:i w:val="0"/>
                <w:iCs w:val="0"/>
                <w:caps w:val="0"/>
                <w:color w:val="525252"/>
                <w:spacing w:val="0"/>
                <w:sz w:val="32"/>
                <w:szCs w:val="32"/>
              </w:rPr>
              <w:t>1</w:t>
            </w:r>
            <w:r>
              <w:rPr>
                <w:rFonts w:hint="eastAsia" w:ascii="仿宋" w:hAnsi="仿宋" w:eastAsia="仿宋" w:cs="仿宋"/>
                <w:i w:val="0"/>
                <w:iCs w:val="0"/>
                <w:caps w:val="0"/>
                <w:color w:val="525252"/>
                <w:spacing w:val="0"/>
                <w:sz w:val="32"/>
                <w:szCs w:val="32"/>
                <w:lang w:val="en-US" w:eastAsia="zh-CN"/>
              </w:rPr>
              <w:t>7</w:t>
            </w:r>
          </w:p>
        </w:tc>
        <w:tc>
          <w:tcPr>
            <w:tcW w:w="2273"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lang w:val="en-US" w:eastAsia="zh-CN"/>
              </w:rPr>
              <w:t>85</w:t>
            </w:r>
            <w:r>
              <w:rPr>
                <w:rFonts w:hint="eastAsia" w:ascii="仿宋" w:hAnsi="仿宋" w:eastAsia="仿宋" w:cs="仿宋"/>
                <w:i w:val="0"/>
                <w:iCs w:val="0"/>
                <w:caps w:val="0"/>
                <w:color w:val="525252"/>
                <w:spacing w:val="0"/>
                <w:sz w:val="32"/>
                <w:szCs w:val="32"/>
              </w:rPr>
              <w:t>%</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1670" w:type="dxa"/>
            <w:tcBorders>
              <w:top w:val="nil"/>
              <w:left w:val="single" w:color="000000" w:sz="2" w:space="0"/>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rPr>
              <w:t>项目管理</w:t>
            </w:r>
          </w:p>
        </w:tc>
        <w:tc>
          <w:tcPr>
            <w:tcW w:w="2253"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rPr>
              <w:t>20</w:t>
            </w:r>
          </w:p>
        </w:tc>
        <w:tc>
          <w:tcPr>
            <w:tcW w:w="1860"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lang w:val="en-US" w:eastAsia="zh-CN"/>
              </w:rPr>
            </w:pPr>
            <w:r>
              <w:rPr>
                <w:rFonts w:hint="eastAsia" w:ascii="仿宋" w:hAnsi="仿宋" w:eastAsia="仿宋" w:cs="仿宋"/>
                <w:i w:val="0"/>
                <w:iCs w:val="0"/>
                <w:caps w:val="0"/>
                <w:color w:val="525252"/>
                <w:spacing w:val="0"/>
                <w:sz w:val="32"/>
                <w:szCs w:val="32"/>
                <w:lang w:val="en-US" w:eastAsia="zh-CN"/>
              </w:rPr>
              <w:t>15</w:t>
            </w:r>
          </w:p>
        </w:tc>
        <w:tc>
          <w:tcPr>
            <w:tcW w:w="2273"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lang w:val="en-US" w:eastAsia="zh-CN"/>
              </w:rPr>
              <w:t>75</w:t>
            </w:r>
            <w:r>
              <w:rPr>
                <w:rFonts w:hint="eastAsia" w:ascii="仿宋" w:hAnsi="仿宋" w:eastAsia="仿宋" w:cs="仿宋"/>
                <w:i w:val="0"/>
                <w:iCs w:val="0"/>
                <w:caps w:val="0"/>
                <w:color w:val="525252"/>
                <w:spacing w:val="0"/>
                <w:sz w:val="32"/>
                <w:szCs w:val="32"/>
              </w:rPr>
              <w:t>%</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193" w:hRule="atLeast"/>
        </w:trPr>
        <w:tc>
          <w:tcPr>
            <w:tcW w:w="1670" w:type="dxa"/>
            <w:tcBorders>
              <w:top w:val="nil"/>
              <w:left w:val="single" w:color="000000" w:sz="2" w:space="0"/>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rPr>
              <w:t>项目绩效</w:t>
            </w:r>
          </w:p>
        </w:tc>
        <w:tc>
          <w:tcPr>
            <w:tcW w:w="2253"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rPr>
              <w:t>60</w:t>
            </w:r>
          </w:p>
        </w:tc>
        <w:tc>
          <w:tcPr>
            <w:tcW w:w="1860"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rPr>
              <w:t>5</w:t>
            </w:r>
            <w:r>
              <w:rPr>
                <w:rFonts w:hint="eastAsia" w:ascii="仿宋" w:hAnsi="仿宋" w:eastAsia="仿宋" w:cs="仿宋"/>
                <w:i w:val="0"/>
                <w:iCs w:val="0"/>
                <w:caps w:val="0"/>
                <w:color w:val="525252"/>
                <w:spacing w:val="0"/>
                <w:sz w:val="32"/>
                <w:szCs w:val="32"/>
                <w:lang w:val="en-US" w:eastAsia="zh-CN"/>
              </w:rPr>
              <w:t>4</w:t>
            </w:r>
          </w:p>
        </w:tc>
        <w:tc>
          <w:tcPr>
            <w:tcW w:w="2273"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lang w:val="en-US" w:eastAsia="zh-CN"/>
              </w:rPr>
              <w:t>90</w:t>
            </w:r>
            <w:r>
              <w:rPr>
                <w:rFonts w:hint="eastAsia" w:ascii="仿宋" w:hAnsi="仿宋" w:eastAsia="仿宋" w:cs="仿宋"/>
                <w:i w:val="0"/>
                <w:iCs w:val="0"/>
                <w:caps w:val="0"/>
                <w:color w:val="525252"/>
                <w:spacing w:val="0"/>
                <w:sz w:val="32"/>
                <w:szCs w:val="32"/>
              </w:rPr>
              <w:t>%</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233" w:hRule="atLeast"/>
        </w:trPr>
        <w:tc>
          <w:tcPr>
            <w:tcW w:w="1670" w:type="dxa"/>
            <w:tcBorders>
              <w:top w:val="nil"/>
              <w:left w:val="single" w:color="000000" w:sz="2" w:space="0"/>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rPr>
              <w:t>合计</w:t>
            </w:r>
          </w:p>
        </w:tc>
        <w:tc>
          <w:tcPr>
            <w:tcW w:w="2253"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rPr>
              <w:t>100</w:t>
            </w:r>
          </w:p>
        </w:tc>
        <w:tc>
          <w:tcPr>
            <w:tcW w:w="1860"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lang w:val="en-US" w:eastAsia="zh-CN"/>
              </w:rPr>
            </w:pPr>
            <w:r>
              <w:rPr>
                <w:rFonts w:hint="eastAsia" w:ascii="仿宋" w:hAnsi="仿宋" w:eastAsia="仿宋" w:cs="仿宋"/>
                <w:i w:val="0"/>
                <w:iCs w:val="0"/>
                <w:caps w:val="0"/>
                <w:color w:val="525252"/>
                <w:spacing w:val="0"/>
                <w:sz w:val="32"/>
                <w:szCs w:val="32"/>
              </w:rPr>
              <w:t>8</w:t>
            </w:r>
            <w:r>
              <w:rPr>
                <w:rFonts w:hint="eastAsia" w:ascii="仿宋" w:hAnsi="仿宋" w:eastAsia="仿宋" w:cs="仿宋"/>
                <w:i w:val="0"/>
                <w:iCs w:val="0"/>
                <w:caps w:val="0"/>
                <w:color w:val="525252"/>
                <w:spacing w:val="0"/>
                <w:sz w:val="32"/>
                <w:szCs w:val="32"/>
                <w:lang w:val="en-US" w:eastAsia="zh-CN"/>
              </w:rPr>
              <w:t>6</w:t>
            </w:r>
          </w:p>
        </w:tc>
        <w:tc>
          <w:tcPr>
            <w:tcW w:w="2273" w:type="dxa"/>
            <w:tcBorders>
              <w:top w:val="nil"/>
              <w:left w:val="nil"/>
              <w:bottom w:val="single" w:color="000000" w:sz="2" w:space="0"/>
              <w:right w:val="single" w:color="000000" w:sz="2" w:space="0"/>
            </w:tcBorders>
            <w:shd w:val="clear" w:color="auto" w:fill="FFFFFF"/>
            <w:tcMar>
              <w:top w:w="0" w:type="dxa"/>
              <w:left w:w="47" w:type="dxa"/>
              <w:bottom w:w="0" w:type="dxa"/>
              <w:right w:w="47"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525252"/>
                <w:spacing w:val="0"/>
                <w:sz w:val="32"/>
                <w:szCs w:val="32"/>
                <w:lang w:val="en-US" w:eastAsia="zh-CN"/>
              </w:rPr>
              <w:t>86</w:t>
            </w:r>
            <w:r>
              <w:rPr>
                <w:rFonts w:hint="eastAsia" w:ascii="仿宋" w:hAnsi="仿宋" w:eastAsia="仿宋" w:cs="仿宋"/>
                <w:i w:val="0"/>
                <w:iCs w:val="0"/>
                <w:caps w:val="0"/>
                <w:color w:val="525252"/>
                <w:spacing w:val="0"/>
                <w:sz w:val="32"/>
                <w:szCs w:val="32"/>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right="0" w:firstLine="643" w:firstLineChars="200"/>
        <w:outlineLvl w:val="0"/>
        <w:rPr>
          <w:rFonts w:hint="eastAsia" w:ascii="仿宋" w:hAnsi="仿宋" w:eastAsia="仿宋" w:cs="仿宋"/>
          <w:color w:val="auto"/>
          <w:sz w:val="32"/>
          <w:szCs w:val="32"/>
        </w:rPr>
      </w:pPr>
      <w:bookmarkStart w:id="18" w:name="_Toc18249"/>
      <w:r>
        <w:rPr>
          <w:rStyle w:val="13"/>
          <w:rFonts w:hint="eastAsia" w:ascii="仿宋" w:hAnsi="仿宋" w:eastAsia="仿宋" w:cs="仿宋"/>
          <w:i w:val="0"/>
          <w:iCs w:val="0"/>
          <w:caps w:val="0"/>
          <w:color w:val="auto"/>
          <w:spacing w:val="0"/>
          <w:sz w:val="32"/>
          <w:szCs w:val="32"/>
          <w:shd w:val="clear" w:fill="FFFFFF"/>
          <w:lang w:val="en-US" w:eastAsia="zh-CN"/>
        </w:rPr>
        <w:t>五</w:t>
      </w:r>
      <w:r>
        <w:rPr>
          <w:rStyle w:val="13"/>
          <w:rFonts w:hint="eastAsia" w:ascii="仿宋" w:hAnsi="仿宋" w:eastAsia="仿宋" w:cs="仿宋"/>
          <w:i w:val="0"/>
          <w:iCs w:val="0"/>
          <w:caps w:val="0"/>
          <w:color w:val="auto"/>
          <w:spacing w:val="0"/>
          <w:sz w:val="32"/>
          <w:szCs w:val="32"/>
          <w:shd w:val="clear" w:fill="FFFFFF"/>
        </w:rPr>
        <w:t>、存在问题和建议</w:t>
      </w:r>
      <w:bookmarkEnd w:id="18"/>
    </w:p>
    <w:p>
      <w:pPr>
        <w:spacing w:line="360" w:lineRule="auto"/>
        <w:ind w:firstLine="643" w:firstLineChars="200"/>
        <w:outlineLvl w:val="1"/>
        <w:rPr>
          <w:rFonts w:hint="eastAsia" w:ascii="仿宋" w:hAnsi="仿宋" w:eastAsia="仿宋" w:cs="仿宋"/>
          <w:b/>
          <w:bCs/>
          <w:color w:val="auto"/>
          <w:sz w:val="32"/>
          <w:szCs w:val="32"/>
        </w:rPr>
      </w:pPr>
      <w:bookmarkStart w:id="19" w:name="_Toc17717"/>
      <w:r>
        <w:rPr>
          <w:rFonts w:hint="eastAsia" w:ascii="仿宋" w:hAnsi="仿宋" w:eastAsia="仿宋" w:cs="仿宋"/>
          <w:b/>
          <w:bCs/>
          <w:color w:val="auto"/>
          <w:sz w:val="32"/>
          <w:szCs w:val="32"/>
        </w:rPr>
        <w:t>（一）存在的问题</w:t>
      </w:r>
      <w:bookmarkEnd w:id="19"/>
    </w:p>
    <w:p>
      <w:pPr>
        <w:spacing w:line="360" w:lineRule="auto"/>
        <w:ind w:firstLine="643" w:firstLineChars="200"/>
        <w:outlineLvl w:val="2"/>
        <w:rPr>
          <w:rFonts w:hint="eastAsia" w:ascii="仿宋" w:hAnsi="仿宋" w:eastAsia="仿宋" w:cs="仿宋"/>
          <w:b/>
          <w:bCs/>
          <w:color w:val="auto"/>
          <w:sz w:val="32"/>
          <w:szCs w:val="32"/>
        </w:rPr>
      </w:pPr>
      <w:bookmarkStart w:id="20" w:name="_Toc29879"/>
      <w:r>
        <w:rPr>
          <w:rFonts w:hint="eastAsia" w:ascii="仿宋" w:hAnsi="仿宋" w:eastAsia="仿宋" w:cs="仿宋"/>
          <w:b/>
          <w:bCs/>
          <w:color w:val="auto"/>
          <w:sz w:val="32"/>
          <w:szCs w:val="32"/>
        </w:rPr>
        <w:t>1.自评工作不到位</w:t>
      </w:r>
      <w:bookmarkEnd w:id="20"/>
    </w:p>
    <w:p>
      <w:pPr>
        <w:numPr>
          <w:ilvl w:val="0"/>
          <w:numId w:val="0"/>
        </w:numPr>
        <w:spacing w:line="360" w:lineRule="auto"/>
        <w:ind w:firstLine="604" w:firstLineChars="200"/>
        <w:outlineLvl w:val="3"/>
        <w:rPr>
          <w:rFonts w:hint="eastAsia" w:ascii="仿宋" w:hAnsi="仿宋" w:eastAsia="仿宋" w:cs="仿宋"/>
          <w:color w:val="auto"/>
          <w:spacing w:val="-9"/>
          <w:kern w:val="0"/>
          <w:sz w:val="32"/>
          <w:szCs w:val="32"/>
          <w:lang w:val="en-US" w:eastAsia="zh-CN" w:bidi="ar"/>
        </w:rPr>
      </w:pPr>
      <w:r>
        <w:rPr>
          <w:rFonts w:hint="eastAsia" w:ascii="仿宋" w:hAnsi="仿宋" w:eastAsia="仿宋" w:cs="仿宋"/>
          <w:color w:val="auto"/>
          <w:spacing w:val="-9"/>
          <w:kern w:val="0"/>
          <w:sz w:val="32"/>
          <w:szCs w:val="32"/>
          <w:lang w:val="en-US" w:eastAsia="zh-CN" w:bidi="ar"/>
        </w:rPr>
        <w:t>主管部门未能根据信阳市部门预算绩效自评管理暂行办法的要求，评价指标体系设置不科学、不完整，自评标准不明确，自评指标权重设置及自评得分不合理，撰写的项目自评报告太简单，自评工作不到位，自评报告不规范。</w:t>
      </w:r>
    </w:p>
    <w:p>
      <w:pPr>
        <w:numPr>
          <w:ilvl w:val="0"/>
          <w:numId w:val="0"/>
        </w:numPr>
        <w:spacing w:line="360" w:lineRule="auto"/>
        <w:ind w:firstLine="643" w:firstLineChars="200"/>
        <w:outlineLvl w:val="2"/>
        <w:rPr>
          <w:rFonts w:hint="eastAsia" w:ascii="仿宋" w:hAnsi="仿宋" w:eastAsia="仿宋" w:cs="仿宋"/>
          <w:b/>
          <w:bCs/>
          <w:color w:val="auto"/>
          <w:sz w:val="32"/>
          <w:szCs w:val="32"/>
        </w:rPr>
      </w:pPr>
      <w:bookmarkStart w:id="21" w:name="_Toc31375"/>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项目管理机制还不够完善</w:t>
      </w:r>
      <w:bookmarkEnd w:id="21"/>
    </w:p>
    <w:p>
      <w:pPr>
        <w:numPr>
          <w:ilvl w:val="0"/>
          <w:numId w:val="0"/>
        </w:numPr>
        <w:spacing w:line="360" w:lineRule="auto"/>
        <w:ind w:firstLine="604" w:firstLineChars="200"/>
        <w:outlineLvl w:val="3"/>
        <w:rPr>
          <w:rFonts w:hint="eastAsia" w:ascii="仿宋" w:hAnsi="仿宋" w:eastAsia="仿宋" w:cs="仿宋"/>
          <w:color w:val="auto"/>
          <w:spacing w:val="-9"/>
          <w:kern w:val="0"/>
          <w:sz w:val="32"/>
          <w:szCs w:val="32"/>
          <w:lang w:val="en-US" w:eastAsia="zh-CN" w:bidi="ar"/>
        </w:rPr>
      </w:pPr>
      <w:bookmarkStart w:id="22" w:name="_Toc15201"/>
      <w:r>
        <w:rPr>
          <w:rFonts w:hint="eastAsia" w:ascii="仿宋" w:hAnsi="仿宋" w:eastAsia="仿宋" w:cs="仿宋"/>
          <w:color w:val="auto"/>
          <w:spacing w:val="-9"/>
          <w:kern w:val="0"/>
          <w:sz w:val="32"/>
          <w:szCs w:val="32"/>
          <w:lang w:val="en-US" w:eastAsia="zh-CN" w:bidi="ar"/>
        </w:rPr>
        <w:t>完善的生活垃圾二次转运作机制，对项目的可持续性具有重要的作用，是促进其性能发挥的关键。而在项目实施过程中尚有不足之处，主要是项目管理机制还不够完善，监督考核机制力度不够，存在垃圾处理场清洁、除臭难度大、运输车辆保持清洁困难、单靠检查扣分罚款难以彻底解决的老大难问题。</w:t>
      </w:r>
      <w:bookmarkEnd w:id="22"/>
    </w:p>
    <w:p>
      <w:pPr>
        <w:numPr>
          <w:ilvl w:val="0"/>
          <w:numId w:val="0"/>
        </w:numPr>
        <w:spacing w:line="360" w:lineRule="auto"/>
        <w:ind w:firstLine="643" w:firstLineChars="200"/>
        <w:outlineLvl w:val="2"/>
        <w:rPr>
          <w:rFonts w:hint="eastAsia" w:ascii="仿宋" w:hAnsi="仿宋" w:eastAsia="仿宋" w:cs="仿宋"/>
          <w:b/>
          <w:bCs/>
          <w:color w:val="auto"/>
          <w:sz w:val="32"/>
          <w:szCs w:val="32"/>
        </w:rPr>
      </w:pPr>
      <w:bookmarkStart w:id="23" w:name="_Toc5008"/>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项目绩效管理重视度不够</w:t>
      </w:r>
      <w:bookmarkEnd w:id="23"/>
    </w:p>
    <w:p>
      <w:pPr>
        <w:numPr>
          <w:ilvl w:val="0"/>
          <w:numId w:val="0"/>
        </w:numPr>
        <w:spacing w:line="360" w:lineRule="auto"/>
        <w:ind w:firstLine="604" w:firstLineChars="200"/>
        <w:outlineLvl w:val="3"/>
        <w:rPr>
          <w:rFonts w:hint="eastAsia" w:ascii="仿宋" w:hAnsi="仿宋" w:eastAsia="仿宋" w:cs="仿宋"/>
          <w:color w:val="auto"/>
          <w:spacing w:val="-9"/>
          <w:kern w:val="0"/>
          <w:sz w:val="32"/>
          <w:szCs w:val="32"/>
          <w:lang w:val="en-US" w:eastAsia="zh-CN" w:bidi="ar"/>
        </w:rPr>
      </w:pPr>
      <w:bookmarkStart w:id="24" w:name="_Toc17919"/>
      <w:r>
        <w:rPr>
          <w:rFonts w:hint="eastAsia" w:ascii="仿宋" w:hAnsi="仿宋" w:eastAsia="仿宋" w:cs="仿宋"/>
          <w:color w:val="auto"/>
          <w:spacing w:val="-9"/>
          <w:kern w:val="0"/>
          <w:sz w:val="32"/>
          <w:szCs w:val="32"/>
          <w:lang w:val="en-US" w:eastAsia="zh-CN" w:bidi="ar"/>
        </w:rPr>
        <w:t>经过查阅项目方提供的相关资料及通过问卷和访谈了解到，该项目在预算申报时，编制了项目任务目标，项目实施也基本围绕着任务目标有序开展，但该项目系采用市场化运营形式由中标单位具体实施，缺乏细化绩效指标，在执行过程中存在管理方（即发包方）资金拨付不及时，资金到位推迟等问题，同时承包方是否存在资金如何按预算项目明细进行支付和监管的问题。</w:t>
      </w:r>
      <w:bookmarkEnd w:id="24"/>
    </w:p>
    <w:p>
      <w:pPr>
        <w:spacing w:line="360" w:lineRule="auto"/>
        <w:ind w:firstLine="643" w:firstLineChars="200"/>
        <w:outlineLvl w:val="1"/>
        <w:rPr>
          <w:rFonts w:hint="eastAsia" w:ascii="仿宋" w:hAnsi="仿宋" w:eastAsia="仿宋" w:cs="仿宋"/>
          <w:b/>
          <w:bCs/>
          <w:color w:val="auto"/>
          <w:sz w:val="32"/>
          <w:szCs w:val="32"/>
        </w:rPr>
      </w:pPr>
      <w:bookmarkStart w:id="25" w:name="_Toc7400"/>
      <w:r>
        <w:rPr>
          <w:rFonts w:hint="eastAsia" w:ascii="仿宋" w:hAnsi="仿宋" w:eastAsia="仿宋" w:cs="仿宋"/>
          <w:b/>
          <w:bCs/>
          <w:color w:val="auto"/>
          <w:sz w:val="32"/>
          <w:szCs w:val="32"/>
        </w:rPr>
        <w:t>（二）建议和改进措施</w:t>
      </w:r>
      <w:bookmarkEnd w:id="25"/>
    </w:p>
    <w:p>
      <w:pPr>
        <w:spacing w:line="360" w:lineRule="auto"/>
        <w:ind w:firstLine="643" w:firstLineChars="200"/>
        <w:outlineLvl w:val="2"/>
        <w:rPr>
          <w:rFonts w:hint="eastAsia" w:ascii="仿宋" w:hAnsi="仿宋" w:eastAsia="仿宋" w:cs="仿宋"/>
          <w:b/>
          <w:bCs/>
          <w:color w:val="auto"/>
          <w:sz w:val="32"/>
          <w:szCs w:val="32"/>
        </w:rPr>
      </w:pPr>
      <w:bookmarkStart w:id="26" w:name="_Toc12284"/>
      <w:r>
        <w:rPr>
          <w:rFonts w:hint="eastAsia" w:ascii="仿宋" w:hAnsi="仿宋" w:eastAsia="仿宋" w:cs="仿宋"/>
          <w:b/>
          <w:bCs/>
          <w:color w:val="auto"/>
          <w:sz w:val="32"/>
          <w:szCs w:val="32"/>
        </w:rPr>
        <w:t>1. 认真完成绩效自评工作</w:t>
      </w:r>
      <w:bookmarkEnd w:id="26"/>
    </w:p>
    <w:p>
      <w:pPr>
        <w:numPr>
          <w:ilvl w:val="0"/>
          <w:numId w:val="0"/>
        </w:numPr>
        <w:spacing w:line="360" w:lineRule="auto"/>
        <w:ind w:firstLine="604" w:firstLineChars="200"/>
        <w:outlineLvl w:val="3"/>
        <w:rPr>
          <w:rFonts w:hint="eastAsia" w:ascii="仿宋" w:hAnsi="仿宋" w:eastAsia="仿宋" w:cs="仿宋"/>
          <w:color w:val="auto"/>
          <w:spacing w:val="-9"/>
          <w:kern w:val="0"/>
          <w:sz w:val="32"/>
          <w:szCs w:val="32"/>
          <w:lang w:val="en-US" w:eastAsia="zh-CN" w:bidi="ar"/>
        </w:rPr>
      </w:pPr>
      <w:bookmarkStart w:id="27" w:name="_Toc18438"/>
      <w:r>
        <w:rPr>
          <w:rFonts w:hint="eastAsia" w:ascii="仿宋" w:hAnsi="仿宋" w:eastAsia="仿宋" w:cs="仿宋"/>
          <w:color w:val="auto"/>
          <w:spacing w:val="-9"/>
          <w:kern w:val="0"/>
          <w:sz w:val="32"/>
          <w:szCs w:val="32"/>
          <w:lang w:val="en-US" w:eastAsia="zh-CN" w:bidi="ar"/>
        </w:rPr>
        <w:t>主管部门应根据《信阳市预算绩效自评管理暂行办法》中的要求，设置科学、完整的自评指标体系；制定明确的自评标准，并细化分值；合理设定自评指标权重及自评分值，认真撰写项目自评报告，保障自评工作取得实效。</w:t>
      </w:r>
      <w:bookmarkEnd w:id="27"/>
    </w:p>
    <w:p>
      <w:pPr>
        <w:numPr>
          <w:ilvl w:val="0"/>
          <w:numId w:val="0"/>
        </w:numPr>
        <w:spacing w:line="360" w:lineRule="auto"/>
        <w:ind w:firstLine="643" w:firstLineChars="200"/>
        <w:outlineLvl w:val="2"/>
        <w:rPr>
          <w:rFonts w:hint="eastAsia" w:ascii="仿宋" w:hAnsi="仿宋" w:eastAsia="仿宋" w:cs="仿宋"/>
          <w:b/>
          <w:bCs/>
          <w:color w:val="auto"/>
          <w:sz w:val="32"/>
          <w:szCs w:val="32"/>
        </w:rPr>
      </w:pPr>
      <w:bookmarkStart w:id="28" w:name="_Toc522"/>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健全相关项目管理机制</w:t>
      </w:r>
      <w:bookmarkEnd w:id="28"/>
    </w:p>
    <w:p>
      <w:pPr>
        <w:numPr>
          <w:ilvl w:val="0"/>
          <w:numId w:val="0"/>
        </w:numPr>
        <w:spacing w:line="360" w:lineRule="auto"/>
        <w:ind w:firstLine="604" w:firstLineChars="200"/>
        <w:outlineLvl w:val="3"/>
        <w:rPr>
          <w:rFonts w:hint="eastAsia" w:ascii="仿宋" w:hAnsi="仿宋" w:eastAsia="仿宋" w:cs="仿宋"/>
          <w:color w:val="auto"/>
          <w:spacing w:val="-9"/>
          <w:kern w:val="0"/>
          <w:sz w:val="32"/>
          <w:szCs w:val="32"/>
          <w:lang w:val="en-US" w:eastAsia="zh-CN" w:bidi="ar"/>
        </w:rPr>
      </w:pPr>
      <w:bookmarkStart w:id="29" w:name="_Toc11206"/>
      <w:r>
        <w:rPr>
          <w:rFonts w:hint="eastAsia" w:ascii="仿宋" w:hAnsi="仿宋" w:eastAsia="仿宋" w:cs="仿宋"/>
          <w:color w:val="auto"/>
          <w:spacing w:val="-9"/>
          <w:kern w:val="0"/>
          <w:sz w:val="32"/>
          <w:szCs w:val="32"/>
          <w:lang w:val="en-US" w:eastAsia="zh-CN" w:bidi="ar"/>
        </w:rPr>
        <w:t>进一步完善生活垃圾二次转运项目的管理制度，是促进其能效发挥的关键。针对项目实施过程中发现的问题和不足之处，进一步完善项目管理机制，及时足量的经费保障，管理方和承包方均应对生活垃圾转运可能存在的问题提前预见，并作出合理预案，确保垃圾二次转运合理有序、日产日清，使市区生活垃圾二次转运工作进入良性发展，提升资源的充分再利用率和整体环境卫生状况的有效改善。</w:t>
      </w:r>
      <w:bookmarkEnd w:id="29"/>
    </w:p>
    <w:p>
      <w:pPr>
        <w:numPr>
          <w:ilvl w:val="0"/>
          <w:numId w:val="0"/>
        </w:numPr>
        <w:spacing w:line="360" w:lineRule="auto"/>
        <w:ind w:firstLine="643" w:firstLineChars="200"/>
        <w:outlineLvl w:val="2"/>
        <w:rPr>
          <w:rFonts w:hint="eastAsia" w:ascii="仿宋" w:hAnsi="仿宋" w:eastAsia="仿宋" w:cs="仿宋"/>
          <w:b/>
          <w:bCs/>
          <w:color w:val="auto"/>
          <w:sz w:val="32"/>
          <w:szCs w:val="32"/>
        </w:rPr>
      </w:pPr>
      <w:bookmarkStart w:id="30" w:name="_Toc19618"/>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建立健全绩效目标考核机制，强化绩效目标管理</w:t>
      </w:r>
      <w:bookmarkEnd w:id="30"/>
    </w:p>
    <w:p>
      <w:pPr>
        <w:numPr>
          <w:ilvl w:val="0"/>
          <w:numId w:val="0"/>
        </w:numPr>
        <w:spacing w:line="360" w:lineRule="auto"/>
        <w:ind w:firstLine="604" w:firstLineChars="200"/>
        <w:outlineLvl w:val="3"/>
        <w:rPr>
          <w:rFonts w:hint="eastAsia" w:ascii="仿宋" w:hAnsi="仿宋" w:eastAsia="仿宋" w:cs="仿宋"/>
          <w:color w:val="auto"/>
          <w:spacing w:val="-9"/>
          <w:kern w:val="0"/>
          <w:sz w:val="32"/>
          <w:szCs w:val="32"/>
          <w:lang w:val="en-US" w:eastAsia="zh-CN" w:bidi="ar"/>
        </w:rPr>
      </w:pPr>
      <w:bookmarkStart w:id="31" w:name="_Toc24462"/>
      <w:r>
        <w:rPr>
          <w:rFonts w:hint="eastAsia" w:ascii="仿宋" w:hAnsi="仿宋" w:eastAsia="仿宋" w:cs="仿宋"/>
          <w:color w:val="auto"/>
          <w:spacing w:val="-9"/>
          <w:kern w:val="0"/>
          <w:sz w:val="32"/>
          <w:szCs w:val="32"/>
          <w:lang w:val="en-US" w:eastAsia="zh-CN" w:bidi="ar"/>
        </w:rPr>
        <w:t>由于该项目运行采用的是市场化运营形式，即由发包方（城管局和环卫处）负责管理监督和检查，是绩效评价的主体单位，而实际运营方由中标单位（信阳普惠环保科技公司）具体实施，因此分包方与承包方应该更好的协调一致，共同建立完善、健全的绩效评价机制，共同重视和加强绩效目标和绩效要求，才能保证绩效目标的顺利实现。</w:t>
      </w:r>
      <w:bookmarkEnd w:id="31"/>
    </w:p>
    <w:p>
      <w:pPr>
        <w:numPr>
          <w:ilvl w:val="0"/>
          <w:numId w:val="0"/>
        </w:numPr>
        <w:spacing w:line="360" w:lineRule="auto"/>
        <w:ind w:firstLine="604" w:firstLineChars="200"/>
        <w:outlineLvl w:val="3"/>
        <w:rPr>
          <w:rFonts w:hint="eastAsia" w:ascii="仿宋" w:hAnsi="仿宋" w:eastAsia="仿宋" w:cs="仿宋"/>
          <w:color w:val="auto"/>
          <w:spacing w:val="-9"/>
          <w:kern w:val="0"/>
          <w:sz w:val="32"/>
          <w:szCs w:val="32"/>
          <w:lang w:val="en-US" w:eastAsia="zh-CN" w:bidi="ar"/>
        </w:rPr>
      </w:pPr>
      <w:r>
        <w:rPr>
          <w:rFonts w:hint="eastAsia" w:ascii="仿宋" w:hAnsi="仿宋" w:eastAsia="仿宋" w:cs="仿宋"/>
          <w:color w:val="auto"/>
          <w:spacing w:val="-9"/>
          <w:kern w:val="0"/>
          <w:sz w:val="32"/>
          <w:szCs w:val="32"/>
          <w:lang w:val="en-US" w:eastAsia="zh-CN" w:bidi="ar"/>
        </w:rPr>
        <w:t>同时，建议双方全面推进预算绩效跟踪工作，根据具体项目设定相应绩效考核指标，包括项目的进度、成效等，对项目实施进行全过程绩效跟踪管理，及时掌握项目实施进度以及阶段性绩效目标实现情况，遇到问题及时解决，以推进预算资金得到有效执行及项目的顺利实施。</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8"/>
          <w:szCs w:val="28"/>
          <w:highlight w:val="none"/>
          <w:u w:val="none"/>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firstLine="3080" w:firstLineChars="1100"/>
        <w:rPr>
          <w:rFonts w:hint="eastAsia" w:ascii="仿宋" w:hAnsi="仿宋" w:eastAsia="仿宋" w:cs="仿宋"/>
          <w:i w:val="0"/>
          <w:iCs w:val="0"/>
          <w:caps w:val="0"/>
          <w:color w:val="auto"/>
          <w:spacing w:val="0"/>
          <w:sz w:val="28"/>
          <w:szCs w:val="28"/>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firstLine="3080" w:firstLineChars="1100"/>
        <w:rPr>
          <w:rFonts w:hint="eastAsia" w:ascii="仿宋" w:hAnsi="仿宋" w:eastAsia="仿宋" w:cs="仿宋"/>
          <w:i w:val="0"/>
          <w:iCs w:val="0"/>
          <w:caps w:val="0"/>
          <w:color w:val="auto"/>
          <w:spacing w:val="0"/>
          <w:sz w:val="28"/>
          <w:szCs w:val="28"/>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firstLine="3080" w:firstLineChars="1100"/>
        <w:rPr>
          <w:rFonts w:hint="eastAsia" w:ascii="仿宋" w:hAnsi="仿宋" w:eastAsia="仿宋" w:cs="仿宋"/>
          <w:i w:val="0"/>
          <w:iCs w:val="0"/>
          <w:caps w:val="0"/>
          <w:color w:val="auto"/>
          <w:spacing w:val="0"/>
          <w:sz w:val="28"/>
          <w:szCs w:val="28"/>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7" w:lineRule="atLeast"/>
        <w:ind w:left="0" w:right="0" w:firstLine="3080" w:firstLineChars="1100"/>
        <w:rPr>
          <w:rFonts w:hint="eastAsia" w:ascii="仿宋" w:hAnsi="仿宋" w:eastAsia="仿宋" w:cs="仿宋"/>
          <w:i w:val="0"/>
          <w:iCs w:val="0"/>
          <w:caps w:val="0"/>
          <w:color w:val="auto"/>
          <w:spacing w:val="0"/>
          <w:sz w:val="28"/>
          <w:szCs w:val="28"/>
          <w:shd w:val="clear" w:fill="FFFFFF"/>
          <w:lang w:val="en-US" w:eastAsia="zh-CN"/>
        </w:rPr>
      </w:pPr>
    </w:p>
    <w:p>
      <w:pPr>
        <w:rPr>
          <w:rFonts w:hint="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94" w:lineRule="exact"/>
      <w:ind w:firstLine="22"/>
      <w:rPr>
        <w:rFonts w:hint="eastAsia" w:ascii="宋体" w:hAnsi="宋体" w:eastAsia="宋体" w:cs="宋体"/>
        <w:sz w:val="21"/>
        <w:szCs w:val="21"/>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72CD2"/>
    <w:multiLevelType w:val="singleLevel"/>
    <w:tmpl w:val="75C72CD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YWVkYzBlZjUwNWQzODZkYWIwNzk3ZDA0NDdmNjYifQ=="/>
  </w:docVars>
  <w:rsids>
    <w:rsidRoot w:val="367A086A"/>
    <w:rsid w:val="01655E65"/>
    <w:rsid w:val="02E37041"/>
    <w:rsid w:val="075A7AEE"/>
    <w:rsid w:val="083E11BD"/>
    <w:rsid w:val="09522039"/>
    <w:rsid w:val="0D427D95"/>
    <w:rsid w:val="0F393640"/>
    <w:rsid w:val="1057696B"/>
    <w:rsid w:val="11375EBF"/>
    <w:rsid w:val="117A5014"/>
    <w:rsid w:val="13250FB0"/>
    <w:rsid w:val="139525D9"/>
    <w:rsid w:val="18824737"/>
    <w:rsid w:val="19293CD2"/>
    <w:rsid w:val="1C166281"/>
    <w:rsid w:val="1DA67191"/>
    <w:rsid w:val="1E827BFE"/>
    <w:rsid w:val="1F274302"/>
    <w:rsid w:val="28414686"/>
    <w:rsid w:val="28EC2844"/>
    <w:rsid w:val="294C3C65"/>
    <w:rsid w:val="2B591CE7"/>
    <w:rsid w:val="2B8461AE"/>
    <w:rsid w:val="2D787A9C"/>
    <w:rsid w:val="2DD45655"/>
    <w:rsid w:val="3255145A"/>
    <w:rsid w:val="338943A1"/>
    <w:rsid w:val="367A086A"/>
    <w:rsid w:val="37D60779"/>
    <w:rsid w:val="39535FC7"/>
    <w:rsid w:val="3A8C4BCB"/>
    <w:rsid w:val="3DEE62BF"/>
    <w:rsid w:val="42212431"/>
    <w:rsid w:val="43A10A30"/>
    <w:rsid w:val="445B21D4"/>
    <w:rsid w:val="45576E3F"/>
    <w:rsid w:val="48741098"/>
    <w:rsid w:val="48914416"/>
    <w:rsid w:val="4A353C74"/>
    <w:rsid w:val="4AD30FB3"/>
    <w:rsid w:val="4C4A29D7"/>
    <w:rsid w:val="4D20220D"/>
    <w:rsid w:val="4D2D65D0"/>
    <w:rsid w:val="4E092CA1"/>
    <w:rsid w:val="50E24FBC"/>
    <w:rsid w:val="520420FD"/>
    <w:rsid w:val="52EF4B5B"/>
    <w:rsid w:val="54E87AB4"/>
    <w:rsid w:val="55B856D8"/>
    <w:rsid w:val="56E348F4"/>
    <w:rsid w:val="5B3975A5"/>
    <w:rsid w:val="5DE03A1E"/>
    <w:rsid w:val="5FDD4C97"/>
    <w:rsid w:val="62B15989"/>
    <w:rsid w:val="657B068F"/>
    <w:rsid w:val="666F593F"/>
    <w:rsid w:val="67460437"/>
    <w:rsid w:val="67C27CF0"/>
    <w:rsid w:val="6865349E"/>
    <w:rsid w:val="6AA330EB"/>
    <w:rsid w:val="6E8126B3"/>
    <w:rsid w:val="6FA41E19"/>
    <w:rsid w:val="714125CE"/>
    <w:rsid w:val="776B5CAF"/>
    <w:rsid w:val="7851759A"/>
    <w:rsid w:val="78B6564F"/>
    <w:rsid w:val="7D1961AD"/>
    <w:rsid w:val="7E152E18"/>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rPr>
  </w:style>
  <w:style w:type="paragraph" w:styleId="4">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rPr>
  </w:style>
  <w:style w:type="paragraph" w:styleId="8">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51"/>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default" w:ascii="Times New Roman" w:hAnsi="Times New Roman" w:cs="Times New Roman"/>
      <w:color w:val="000000"/>
      <w:sz w:val="20"/>
      <w:szCs w:val="20"/>
      <w:u w:val="none"/>
    </w:rPr>
  </w:style>
  <w:style w:type="character" w:customStyle="1" w:styleId="17">
    <w:name w:val="font01"/>
    <w:basedOn w:val="12"/>
    <w:qFormat/>
    <w:uiPriority w:val="0"/>
    <w:rPr>
      <w:rFonts w:hint="eastAsia" w:ascii="宋体" w:hAnsi="宋体" w:eastAsia="宋体" w:cs="宋体"/>
      <w:color w:val="000000"/>
      <w:sz w:val="20"/>
      <w:szCs w:val="20"/>
      <w:u w:val="none"/>
    </w:rPr>
  </w:style>
  <w:style w:type="character" w:customStyle="1" w:styleId="18">
    <w:name w:val="font61"/>
    <w:basedOn w:val="12"/>
    <w:qFormat/>
    <w:uiPriority w:val="0"/>
    <w:rPr>
      <w:rFonts w:hint="default" w:ascii="Times New Roman" w:hAnsi="Times New Roman" w:cs="Times New Roman"/>
      <w:color w:val="000000"/>
      <w:sz w:val="20"/>
      <w:szCs w:val="20"/>
      <w:u w:val="none"/>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3143</Words>
  <Characters>3271</Characters>
  <Lines>0</Lines>
  <Paragraphs>0</Paragraphs>
  <TotalTime>3</TotalTime>
  <ScaleCrop>false</ScaleCrop>
  <LinksUpToDate>false</LinksUpToDate>
  <CharactersWithSpaces>3276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2022-11-25T14:21:00Z</dcterms:created>
  <dc:creator>知止</dc:creator>
  <cp:lastModifiedBy>泡泡</cp:lastModifiedBy>
  <cp:lastPrinted>2023-03-07T03:41:00Z</cp:lastPrinted>
  <dcterms:modified xsi:type="dcterms:W3CDTF">2023-03-30T08:21:03Z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9497D850BFFD441A8FC55BEEBDFA8468</vt:lpwstr>
  </property>
</Properties>
</file>