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autoSpaceDE w:val="0"/>
        <w:autoSpaceDN/>
        <w:jc w:val="left"/>
        <w:rPr>
          <w:rFonts w:hint="eastAsia" w:ascii="黑体" w:hAnsi="宋体" w:eastAsia="黑体" w:cs="宋体"/>
          <w:kern w:val="0"/>
          <w:sz w:val="28"/>
          <w:szCs w:val="28"/>
        </w:rPr>
      </w:pP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2021年度</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信阳市</w:t>
      </w:r>
      <w:r>
        <w:rPr>
          <w:rFonts w:hint="eastAsia" w:ascii="黑体" w:eastAsia="黑体" w:cs="黑体"/>
          <w:kern w:val="0"/>
          <w:sz w:val="52"/>
          <w:szCs w:val="52"/>
          <w:lang w:eastAsia="zh-CN"/>
        </w:rPr>
        <w:t>森林</w:t>
      </w:r>
      <w:r>
        <w:rPr>
          <w:rFonts w:hint="eastAsia" w:ascii="黑体" w:hAnsi="宋体" w:eastAsia="黑体" w:cs="黑体"/>
          <w:kern w:val="0"/>
          <w:sz w:val="52"/>
          <w:szCs w:val="52"/>
        </w:rPr>
        <w:t>公安局部门决算</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 xml:space="preserve"> </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 xml:space="preserve"> </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 xml:space="preserve"> </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 xml:space="preserve"> </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 xml:space="preserve"> </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 xml:space="preserve"> </w:t>
      </w:r>
    </w:p>
    <w:p>
      <w:pPr>
        <w:keepNext w:val="0"/>
        <w:keepLines w:val="0"/>
        <w:widowControl/>
        <w:suppressLineNumbers w:val="0"/>
        <w:autoSpaceDE w:val="0"/>
        <w:autoSpaceDN/>
        <w:jc w:val="center"/>
        <w:rPr>
          <w:rFonts w:hint="eastAsia" w:ascii="宋体" w:hAnsi="宋体" w:eastAsia="宋体" w:cs="宋体"/>
          <w:kern w:val="0"/>
          <w:sz w:val="24"/>
          <w:szCs w:val="24"/>
        </w:rPr>
      </w:pPr>
      <w:r>
        <w:rPr>
          <w:rFonts w:hint="eastAsia" w:ascii="黑体" w:hAnsi="宋体" w:eastAsia="黑体" w:cs="黑体"/>
          <w:kern w:val="0"/>
          <w:sz w:val="32"/>
          <w:szCs w:val="32"/>
        </w:rPr>
        <w:t>二〇二二年</w:t>
      </w:r>
      <w:r>
        <w:rPr>
          <w:rFonts w:hint="eastAsia" w:ascii="黑体" w:eastAsia="黑体" w:cs="黑体"/>
          <w:kern w:val="0"/>
          <w:sz w:val="32"/>
          <w:szCs w:val="32"/>
          <w:lang w:eastAsia="zh-CN"/>
        </w:rPr>
        <w:t>九</w:t>
      </w:r>
      <w:r>
        <w:rPr>
          <w:rFonts w:hint="eastAsia" w:ascii="黑体" w:hAnsi="宋体" w:eastAsia="黑体" w:cs="黑体"/>
          <w:kern w:val="0"/>
          <w:sz w:val="32"/>
          <w:szCs w:val="32"/>
        </w:rPr>
        <w:t>月</w:t>
      </w:r>
    </w:p>
    <w:p>
      <w:pPr>
        <w:rPr>
          <w:rFonts w:hint="eastAsia" w:ascii="黑体" w:hAnsi="宋体" w:eastAsia="黑体" w:cs="黑体"/>
          <w:kern w:val="0"/>
          <w:sz w:val="32"/>
          <w:szCs w:val="32"/>
        </w:rPr>
        <w:sectPr>
          <w:pgSz w:w="11906" w:h="16838"/>
          <w:pgMar w:top="1440" w:right="1803" w:bottom="1440" w:left="1803" w:header="720" w:footer="720" w:gutter="0"/>
          <w:cols w:space="0" w:num="1"/>
          <w:docGrid w:type="lines" w:linePitch="332" w:charSpace="0"/>
        </w:sectPr>
      </w:pPr>
    </w:p>
    <w:p>
      <w:pPr>
        <w:keepNext w:val="0"/>
        <w:keepLines w:val="0"/>
        <w:widowControl/>
        <w:suppressLineNumbers w:val="0"/>
        <w:autoSpaceDE w:val="0"/>
        <w:autoSpaceDN/>
        <w:jc w:val="center"/>
        <w:rPr>
          <w:rFonts w:hint="eastAsia" w:ascii="黑体" w:hAnsi="宋体" w:eastAsia="黑体" w:cs="黑体"/>
          <w:kern w:val="0"/>
          <w:sz w:val="36"/>
          <w:szCs w:val="36"/>
        </w:rPr>
      </w:pPr>
      <w:r>
        <w:rPr>
          <w:rFonts w:hint="eastAsia" w:ascii="黑体" w:hAnsi="宋体" w:eastAsia="黑体" w:cs="黑体"/>
          <w:kern w:val="0"/>
          <w:sz w:val="36"/>
          <w:szCs w:val="36"/>
        </w:rPr>
        <w:t>目  录</w:t>
      </w:r>
    </w:p>
    <w:p>
      <w:pPr>
        <w:keepNext w:val="0"/>
        <w:keepLines w:val="0"/>
        <w:widowControl/>
        <w:suppressLineNumbers w:val="0"/>
        <w:autoSpaceDE w:val="0"/>
        <w:autoSpaceDN/>
        <w:jc w:val="left"/>
        <w:rPr>
          <w:rFonts w:hint="eastAsia" w:ascii="黑体" w:hAnsi="宋体" w:eastAsia="黑体" w:cs="黑体"/>
          <w:kern w:val="0"/>
          <w:sz w:val="32"/>
          <w:szCs w:val="32"/>
        </w:rPr>
      </w:pPr>
      <w:r>
        <w:rPr>
          <w:rFonts w:hint="eastAsia" w:ascii="黑体" w:hAnsi="宋体" w:eastAsia="黑体" w:cs="黑体"/>
          <w:kern w:val="0"/>
          <w:sz w:val="32"/>
          <w:szCs w:val="32"/>
        </w:rPr>
        <w:t>第一部分 信阳市</w:t>
      </w:r>
      <w:r>
        <w:rPr>
          <w:rFonts w:hint="eastAsia" w:ascii="黑体" w:eastAsia="黑体" w:cs="黑体"/>
          <w:kern w:val="0"/>
          <w:sz w:val="32"/>
          <w:szCs w:val="32"/>
          <w:lang w:eastAsia="zh-CN"/>
        </w:rPr>
        <w:t>森林</w:t>
      </w:r>
      <w:r>
        <w:rPr>
          <w:rFonts w:hint="eastAsia" w:ascii="黑体" w:hAnsi="宋体" w:eastAsia="黑体" w:cs="黑体"/>
          <w:kern w:val="0"/>
          <w:sz w:val="32"/>
          <w:szCs w:val="32"/>
        </w:rPr>
        <w:t>公安局概况</w:t>
      </w:r>
    </w:p>
    <w:p>
      <w:pPr>
        <w:keepNext w:val="0"/>
        <w:keepLines w:val="0"/>
        <w:widowControl/>
        <w:numPr>
          <w:ilvl w:val="0"/>
          <w:numId w:val="1"/>
        </w:numPr>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部门职责</w:t>
      </w:r>
    </w:p>
    <w:p>
      <w:pPr>
        <w:keepNext w:val="0"/>
        <w:keepLines w:val="0"/>
        <w:widowControl/>
        <w:numPr>
          <w:ilvl w:val="0"/>
          <w:numId w:val="1"/>
        </w:numPr>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机构设置</w:t>
      </w:r>
    </w:p>
    <w:p>
      <w:pPr>
        <w:keepNext w:val="0"/>
        <w:keepLines w:val="0"/>
        <w:widowControl/>
        <w:suppressLineNumbers w:val="0"/>
        <w:autoSpaceDE w:val="0"/>
        <w:autoSpaceDN/>
        <w:jc w:val="left"/>
        <w:rPr>
          <w:rFonts w:hint="eastAsia" w:ascii="黑体" w:hAnsi="宋体" w:eastAsia="黑体" w:cs="黑体"/>
          <w:kern w:val="0"/>
          <w:sz w:val="32"/>
          <w:szCs w:val="32"/>
        </w:rPr>
      </w:pPr>
      <w:r>
        <w:rPr>
          <w:rFonts w:hint="eastAsia" w:ascii="黑体" w:hAnsi="宋体" w:eastAsia="黑体" w:cs="黑体"/>
          <w:kern w:val="0"/>
          <w:sz w:val="32"/>
          <w:szCs w:val="32"/>
        </w:rPr>
        <w:t>第二部分 2021年度部门决算表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一、收入支出决算总表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二、收入决算表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三、支出决算表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四、财政拨款收入支出决算总表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五、一般公共预算财政拨款支出决算表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六、一般公共预算财政拨款基本支出决算明细表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七、一般公共预算财政拨款“三公”经费支出决算表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八、政府性基金预算财政拨款收入支出决算表</w:t>
      </w:r>
    </w:p>
    <w:p>
      <w:pPr>
        <w:keepNext w:val="0"/>
        <w:keepLines w:val="0"/>
        <w:widowControl/>
        <w:suppressLineNumbers w:val="0"/>
        <w:autoSpaceDE w:val="0"/>
        <w:autoSpaceDN/>
        <w:jc w:val="left"/>
        <w:rPr>
          <w:rFonts w:hint="eastAsia" w:ascii="黑体" w:hAnsi="宋体" w:eastAsia="黑体" w:cs="黑体"/>
          <w:kern w:val="0"/>
          <w:sz w:val="32"/>
          <w:szCs w:val="32"/>
        </w:rPr>
      </w:pPr>
      <w:r>
        <w:rPr>
          <w:rFonts w:hint="eastAsia" w:ascii="黑体" w:hAnsi="宋体" w:eastAsia="黑体" w:cs="黑体"/>
          <w:kern w:val="0"/>
          <w:sz w:val="32"/>
          <w:szCs w:val="32"/>
        </w:rPr>
        <w:t>第三部分 2021年度部门决算情况说明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一、收入支出决算总体情况说明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二、收入决算情况说明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三、支出决算情况说明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四、财政拨款收入支出决算总体情况说明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五、一般公共预算财政拨款支出决算情况说明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六、一般公共预算财政拨款基本支出决算情况说明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七、一般公共预算财政拨款“三公”经费支出决算情况说明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八、政府性基金预算财政拨款支出决算情况说明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九、机关运行经费支出情况说明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十、政府采购支出情况说明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十一、国有资产占用情况说明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十二、预算绩效情况说明</w:t>
      </w:r>
    </w:p>
    <w:p>
      <w:pPr>
        <w:keepNext w:val="0"/>
        <w:keepLines w:val="0"/>
        <w:widowControl/>
        <w:suppressLineNumbers w:val="0"/>
        <w:autoSpaceDE w:val="0"/>
        <w:autoSpaceDN/>
        <w:jc w:val="left"/>
        <w:rPr>
          <w:rFonts w:hint="eastAsia" w:ascii="黑体" w:hAnsi="宋体" w:eastAsia="黑体" w:cs="黑体"/>
          <w:kern w:val="0"/>
          <w:sz w:val="32"/>
          <w:szCs w:val="32"/>
        </w:rPr>
      </w:pPr>
      <w:r>
        <w:rPr>
          <w:rFonts w:hint="eastAsia" w:ascii="黑体" w:hAnsi="宋体" w:eastAsia="黑体" w:cs="黑体"/>
          <w:kern w:val="0"/>
          <w:sz w:val="32"/>
          <w:szCs w:val="32"/>
        </w:rPr>
        <w:t>第四部分  名词解释</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center"/>
        <w:outlineLvl w:val="0"/>
        <w:rPr>
          <w:rFonts w:hint="eastAsia" w:ascii="黑体" w:hAnsi="宋体" w:eastAsia="黑体" w:cs="宋体"/>
          <w:kern w:val="0"/>
          <w:sz w:val="28"/>
          <w:szCs w:val="28"/>
        </w:rPr>
      </w:pPr>
      <w:r>
        <w:rPr>
          <w:rFonts w:hint="eastAsia" w:ascii="黑体" w:hAnsi="宋体" w:eastAsia="黑体" w:cs="黑体"/>
          <w:kern w:val="0"/>
          <w:sz w:val="48"/>
          <w:szCs w:val="48"/>
        </w:rPr>
        <w:t>第一部分  信阳市</w:t>
      </w:r>
      <w:r>
        <w:rPr>
          <w:rFonts w:hint="eastAsia" w:ascii="黑体" w:eastAsia="黑体" w:cs="黑体"/>
          <w:kern w:val="0"/>
          <w:sz w:val="48"/>
          <w:szCs w:val="48"/>
          <w:lang w:eastAsia="zh-CN"/>
        </w:rPr>
        <w:t>森林</w:t>
      </w:r>
      <w:r>
        <w:rPr>
          <w:rFonts w:hint="eastAsia" w:ascii="黑体" w:hAnsi="宋体" w:eastAsia="黑体" w:cs="黑体"/>
          <w:kern w:val="0"/>
          <w:sz w:val="48"/>
          <w:szCs w:val="48"/>
        </w:rPr>
        <w:t>公安局概况</w:t>
      </w:r>
    </w:p>
    <w:p>
      <w:pPr>
        <w:keepNext w:val="0"/>
        <w:keepLines w:val="0"/>
        <w:widowControl/>
        <w:suppressLineNumbers w:val="0"/>
        <w:autoSpaceDE w:val="0"/>
        <w:autoSpaceDN/>
        <w:spacing w:line="590" w:lineRule="exact"/>
        <w:ind w:lef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keepNext w:val="0"/>
        <w:keepLines w:val="0"/>
        <w:widowControl/>
        <w:suppressLineNumbers w:val="0"/>
        <w:autoSpaceDE w:val="0"/>
        <w:autoSpaceDN/>
        <w:spacing w:line="590" w:lineRule="exact"/>
        <w:ind w:lef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rPr>
        <w:t>一、部门</w:t>
      </w:r>
      <w:r>
        <w:rPr>
          <w:rFonts w:hint="eastAsia" w:ascii="黑体" w:hAnsi="宋体" w:eastAsia="黑体" w:cs="黑体"/>
          <w:bCs/>
          <w:kern w:val="0"/>
          <w:sz w:val="32"/>
          <w:szCs w:val="32"/>
        </w:rPr>
        <w:t>职责</w:t>
      </w:r>
    </w:p>
    <w:p>
      <w:pPr>
        <w:keepNext w:val="0"/>
        <w:keepLines w:val="0"/>
        <w:widowControl/>
        <w:suppressLineNumbers w:val="0"/>
        <w:autoSpaceDE w:val="0"/>
        <w:autoSpaceDN/>
        <w:spacing w:before="0" w:beforeAutospacing="0" w:after="0" w:afterAutospacing="0" w:line="590" w:lineRule="exact"/>
        <w:ind w:left="0" w:right="0" w:firstLine="640" w:firstLineChars="200"/>
        <w:jc w:val="left"/>
        <w:outlineLvl w:val="1"/>
        <w:rPr>
          <w:rFonts w:hint="eastAsia" w:ascii="黑体" w:hAnsi="宋体" w:eastAsia="黑体" w:cs="黑体"/>
          <w:bCs/>
          <w:sz w:val="32"/>
          <w:szCs w:val="32"/>
          <w:lang w:val="en-US"/>
        </w:rPr>
      </w:pPr>
      <w:r>
        <w:rPr>
          <w:rFonts w:hint="eastAsia" w:ascii="仿宋_GB2312" w:hAnsi="宋体" w:eastAsia="仿宋_GB2312" w:cs="仿宋_GB2312"/>
          <w:kern w:val="0"/>
          <w:sz w:val="32"/>
          <w:szCs w:val="32"/>
          <w:lang w:val="en-US" w:eastAsia="zh-CN" w:bidi="ar"/>
        </w:rPr>
        <w:t>贯彻执行上级森林公安机关部署的统一行动和专项斗争；负责本行政区域内打击破坏森林及野生动植物资源的违法犯罪活动，查处盗伐、滥伐等各类毁坏林木，破坏林地，危害陆生野生动物和珍稀植物案件；查处越权发放、买卖、伪造林业证件案件；查处森林火灾刑事案件以及林区涉林治安案件等违法犯罪案件；维护辖区内的社会治安稳定。</w:t>
      </w:r>
    </w:p>
    <w:p>
      <w:pPr>
        <w:keepNext w:val="0"/>
        <w:keepLines w:val="0"/>
        <w:widowControl/>
        <w:suppressLineNumbers w:val="0"/>
        <w:autoSpaceDE w:val="0"/>
        <w:autoSpaceDN/>
        <w:spacing w:line="590" w:lineRule="exact"/>
        <w:ind w:lef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rPr>
        <w:t>二、机构设置</w:t>
      </w:r>
    </w:p>
    <w:p>
      <w:pPr>
        <w:keepNext w:val="0"/>
        <w:keepLines w:val="0"/>
        <w:widowControl/>
        <w:suppressLineNumbers w:val="0"/>
        <w:autoSpaceDE w:val="0"/>
        <w:autoSpaceDN/>
        <w:spacing w:before="0" w:beforeAutospacing="0" w:after="0" w:afterAutospacing="0"/>
        <w:ind w:left="0" w:right="0" w:firstLine="560" w:firstLineChars="200"/>
        <w:jc w:val="left"/>
        <w:rPr>
          <w:rFonts w:hint="eastAsia" w:ascii="黑体" w:hAnsi="宋体" w:eastAsia="黑体" w:cs="宋体"/>
          <w:sz w:val="28"/>
          <w:szCs w:val="28"/>
          <w:lang w:val="en-US"/>
        </w:rPr>
      </w:pPr>
      <w:r>
        <w:rPr>
          <w:rFonts w:hint="eastAsia" w:ascii="黑体" w:hAnsi="宋体" w:eastAsia="黑体" w:cs="宋体"/>
          <w:kern w:val="0"/>
          <w:sz w:val="28"/>
          <w:szCs w:val="28"/>
        </w:rPr>
        <w:t xml:space="preserve"> </w:t>
      </w:r>
      <w:r>
        <w:rPr>
          <w:rFonts w:hint="eastAsia" w:ascii="仿宋_GB2312" w:hAnsi="宋体" w:eastAsia="仿宋_GB2312" w:cs="仿宋_GB2312"/>
          <w:kern w:val="0"/>
          <w:sz w:val="32"/>
          <w:szCs w:val="32"/>
          <w:lang w:val="en-US" w:eastAsia="zh-CN" w:bidi="ar"/>
        </w:rPr>
        <w:t>信阳市森林公安局属涉改单位，暂按原机构设置运行，内设办公室、政治处、法制室、刑事侦查大队、治安大队。直属派出所四个，分别为：市森林公安局浉河派出所、平桥派出所、南湾派出所、鸡公山派出所。</w:t>
      </w:r>
      <w:r>
        <w:rPr>
          <w:rFonts w:hint="eastAsia" w:ascii="黑体" w:hAnsi="宋体" w:eastAsia="黑体" w:cs="宋体"/>
          <w:kern w:val="0"/>
          <w:sz w:val="28"/>
          <w:szCs w:val="28"/>
          <w:lang w:val="en-US" w:eastAsia="zh-CN" w:bidi="ar"/>
        </w:rPr>
        <w:t xml:space="preserve"> </w:t>
      </w:r>
    </w:p>
    <w:p>
      <w:pPr>
        <w:keepNext w:val="0"/>
        <w:keepLines w:val="0"/>
        <w:widowControl/>
        <w:suppressLineNumbers w:val="0"/>
        <w:autoSpaceDE w:val="0"/>
        <w:autoSpaceDN/>
        <w:spacing w:before="0" w:beforeAutospacing="0" w:after="0" w:afterAutospacing="0"/>
        <w:ind w:left="0" w:right="0"/>
        <w:jc w:val="left"/>
        <w:rPr>
          <w:rFonts w:hint="eastAsia" w:ascii="仿宋_GB2312" w:hAnsi="仿宋_GB2312" w:eastAsia="仿宋_GB2312" w:cs="仿宋_GB2312"/>
          <w:color w:val="000000"/>
          <w:sz w:val="32"/>
          <w:szCs w:val="32"/>
          <w:lang w:val="en-US"/>
        </w:rPr>
      </w:pPr>
      <w:r>
        <w:rPr>
          <w:rFonts w:hint="eastAsia" w:ascii="黑体" w:hAnsi="宋体" w:eastAsia="黑体" w:cs="宋体"/>
          <w:kern w:val="0"/>
          <w:sz w:val="28"/>
          <w:szCs w:val="28"/>
          <w:lang w:val="en-US" w:eastAsia="zh-CN" w:bidi="ar"/>
        </w:rPr>
        <w:t xml:space="preserve">     </w:t>
      </w:r>
      <w:r>
        <w:rPr>
          <w:rFonts w:hint="eastAsia" w:ascii="仿宋_GB2312" w:hAnsi="Times New Roman" w:eastAsia="仿宋_GB2312" w:cs="仿宋_GB2312"/>
          <w:kern w:val="0"/>
          <w:sz w:val="32"/>
          <w:szCs w:val="32"/>
          <w:lang w:val="en-US" w:eastAsia="zh-CN" w:bidi="ar"/>
        </w:rPr>
        <w:t>信阳市森林公安局无下属单位，公开的就是本级预算</w:t>
      </w:r>
      <w:r>
        <w:rPr>
          <w:rFonts w:hint="eastAsia" w:ascii="仿宋_GB2312" w:hAnsi="仿宋_GB2312" w:eastAsia="仿宋_GB2312" w:cs="仿宋_GB2312"/>
          <w:color w:val="000000"/>
          <w:kern w:val="0"/>
          <w:sz w:val="32"/>
          <w:szCs w:val="32"/>
          <w:lang w:val="en-US" w:eastAsia="zh-CN" w:bidi="ar"/>
        </w:rPr>
        <w:t>。</w:t>
      </w:r>
    </w:p>
    <w:p>
      <w:pPr>
        <w:keepNext w:val="0"/>
        <w:keepLines w:val="0"/>
        <w:widowControl/>
        <w:suppressLineNumbers w:val="0"/>
        <w:autoSpaceDE w:val="0"/>
        <w:autoSpaceDN/>
        <w:spacing w:before="0" w:beforeAutospacing="0" w:after="0" w:afterAutospacing="0"/>
        <w:ind w:left="0" w:right="0"/>
        <w:jc w:val="left"/>
        <w:rPr>
          <w:rFonts w:hint="eastAsia" w:ascii="仿宋_GB2312" w:hAnsi="仿宋_GB2312" w:eastAsia="仿宋_GB2312" w:cs="仿宋_GB2312"/>
          <w:color w:val="000000"/>
          <w:sz w:val="32"/>
          <w:szCs w:val="32"/>
          <w:lang w:val="en-US"/>
        </w:rPr>
      </w:pPr>
    </w:p>
    <w:p>
      <w:pPr>
        <w:keepNext w:val="0"/>
        <w:keepLines w:val="0"/>
        <w:widowControl/>
        <w:suppressLineNumbers w:val="0"/>
        <w:autoSpaceDE w:val="0"/>
        <w:autoSpaceDN/>
        <w:spacing w:before="0" w:beforeAutospacing="0" w:after="0" w:afterAutospacing="0"/>
        <w:ind w:left="0" w:right="0"/>
        <w:jc w:val="left"/>
        <w:rPr>
          <w:rFonts w:hint="eastAsia" w:ascii="仿宋_GB2312" w:hAnsi="仿宋_GB2312" w:eastAsia="仿宋_GB2312" w:cs="仿宋_GB2312"/>
          <w:color w:val="000000"/>
          <w:sz w:val="32"/>
          <w:szCs w:val="32"/>
          <w:lang w:val="en-US"/>
        </w:rPr>
      </w:pPr>
    </w:p>
    <w:p>
      <w:pPr>
        <w:keepNext w:val="0"/>
        <w:keepLines w:val="0"/>
        <w:widowControl/>
        <w:suppressLineNumbers w:val="0"/>
        <w:autoSpaceDE w:val="0"/>
        <w:autoSpaceDN/>
        <w:jc w:val="left"/>
        <w:rPr>
          <w:rFonts w:hint="eastAsia" w:ascii="黑体" w:hAnsi="宋体" w:eastAsia="黑体" w:cs="宋体"/>
          <w:kern w:val="0"/>
          <w:sz w:val="28"/>
          <w:szCs w:val="28"/>
        </w:rPr>
      </w:pP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center"/>
        <w:outlineLvl w:val="0"/>
        <w:rPr>
          <w:rFonts w:hint="eastAsia" w:ascii="黑体" w:hAnsi="宋体" w:eastAsia="黑体" w:cs="黑体"/>
          <w:kern w:val="0"/>
          <w:sz w:val="48"/>
          <w:szCs w:val="48"/>
        </w:rPr>
      </w:pPr>
      <w:r>
        <w:rPr>
          <w:rFonts w:hint="eastAsia" w:ascii="黑体" w:hAnsi="宋体" w:eastAsia="黑体" w:cs="黑体"/>
          <w:kern w:val="0"/>
          <w:sz w:val="48"/>
          <w:szCs w:val="48"/>
        </w:rPr>
        <w:t>第二部分  2021年度部门决算表</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rPr>
          <w:rFonts w:hint="eastAsia" w:ascii="黑体" w:hAnsi="宋体" w:eastAsia="黑体" w:cs="宋体"/>
          <w:kern w:val="0"/>
          <w:sz w:val="28"/>
          <w:szCs w:val="28"/>
        </w:rPr>
        <w:sectPr>
          <w:footerReference r:id="rId4" w:type="default"/>
          <w:pgSz w:w="11906" w:h="16838"/>
          <w:pgMar w:top="1440" w:right="1803" w:bottom="1440" w:left="1803" w:header="720" w:footer="720" w:gutter="0"/>
          <w:cols w:space="0" w:num="1"/>
          <w:docGrid w:type="lines" w:linePitch="332" w:charSpace="0"/>
        </w:sectPr>
      </w:pP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38"/>
        <w:gridCol w:w="616"/>
        <w:gridCol w:w="2614"/>
        <w:gridCol w:w="4064"/>
        <w:gridCol w:w="617"/>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6"/>
            <w:tcBorders>
              <w:top w:val="nil"/>
              <w:left w:val="nil"/>
              <w:bottom w:val="nil"/>
              <w:right w:val="single" w:color="808080" w:sz="4" w:space="0"/>
            </w:tcBorders>
            <w:shd w:val="clear" w:color="auto" w:fill="FFFFFF"/>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17"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923"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435"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17"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44"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部门：信阳市森林公安局</w:t>
            </w:r>
          </w:p>
        </w:tc>
        <w:tc>
          <w:tcPr>
            <w:tcW w:w="21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923"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143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1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44"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01"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2398" w:type="pct"/>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2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7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92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4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951.64</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b/>
                <w:bCs/>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951.64</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88.09</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17" w:type="pct"/>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1,039.74</w:t>
            </w:r>
          </w:p>
        </w:tc>
        <w:tc>
          <w:tcPr>
            <w:tcW w:w="143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1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74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single" w:color="808080" w:sz="4" w:space="0"/>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bl>
    <w:p>
      <w:pPr>
        <w:rPr>
          <w:rFonts w:hint="eastAsia" w:ascii="黑体" w:hAnsi="宋体" w:eastAsia="黑体" w:cs="宋体"/>
          <w:kern w:val="0"/>
          <w:sz w:val="28"/>
          <w:szCs w:val="28"/>
          <w:lang w:eastAsia="zh-CN"/>
        </w:rPr>
      </w:pPr>
    </w:p>
    <w:p>
      <w:pPr>
        <w:rPr>
          <w:rFonts w:hint="eastAsia" w:ascii="黑体" w:hAnsi="宋体" w:eastAsia="黑体" w:cs="宋体"/>
          <w:kern w:val="0"/>
          <w:sz w:val="28"/>
          <w:szCs w:val="28"/>
          <w:lang w:eastAsia="zh-CN"/>
        </w:rPr>
      </w:pPr>
    </w:p>
    <w:p>
      <w:pPr>
        <w:rPr>
          <w:rFonts w:hint="eastAsia" w:ascii="黑体" w:hAnsi="宋体" w:eastAsia="黑体" w:cs="宋体"/>
          <w:kern w:val="0"/>
          <w:sz w:val="28"/>
          <w:szCs w:val="28"/>
          <w:lang w:eastAsia="zh-CN"/>
        </w:rPr>
      </w:pPr>
    </w:p>
    <w:p>
      <w:pPr>
        <w:rPr>
          <w:rFonts w:hint="eastAsia" w:ascii="黑体" w:hAnsi="宋体" w:eastAsia="黑体" w:cs="宋体"/>
          <w:kern w:val="0"/>
          <w:sz w:val="28"/>
          <w:szCs w:val="28"/>
          <w:lang w:eastAsia="zh-CN"/>
        </w:rPr>
      </w:pPr>
    </w:p>
    <w:p>
      <w:pPr>
        <w:rPr>
          <w:rFonts w:hint="eastAsia" w:ascii="黑体" w:hAnsi="宋体" w:eastAsia="黑体" w:cs="宋体"/>
          <w:kern w:val="0"/>
          <w:sz w:val="28"/>
          <w:szCs w:val="28"/>
          <w:lang w:eastAsia="zh-CN"/>
        </w:rPr>
      </w:pP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6"/>
        <w:gridCol w:w="222"/>
        <w:gridCol w:w="222"/>
        <w:gridCol w:w="3616"/>
        <w:gridCol w:w="821"/>
        <w:gridCol w:w="1712"/>
        <w:gridCol w:w="620"/>
        <w:gridCol w:w="687"/>
        <w:gridCol w:w="931"/>
        <w:gridCol w:w="931"/>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1"/>
            <w:tcBorders>
              <w:top w:val="nil"/>
              <w:left w:val="nil"/>
              <w:bottom w:val="nil"/>
              <w:right w:val="single" w:color="808080" w:sz="4" w:space="0"/>
            </w:tcBorders>
            <w:shd w:val="clear" w:color="auto" w:fill="FFFFFF"/>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0"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276"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89"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05"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18"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43"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29"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29"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1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部门：信阳市森林公安局</w:t>
            </w:r>
          </w:p>
        </w:tc>
        <w:tc>
          <w:tcPr>
            <w:tcW w:w="7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276"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89"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0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21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43"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29"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29"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1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3"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8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60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21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24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32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32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61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276"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8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05"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18"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43"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2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2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1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276" w:type="pct"/>
            <w:vMerge w:val="continue"/>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8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05"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18"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43"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2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2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1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276" w:type="pct"/>
            <w:vMerge w:val="continue"/>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8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05"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18"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43"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2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2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1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3"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8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3"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3"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951.64</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951.64</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847.50</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847.50</w:t>
            </w:r>
          </w:p>
        </w:tc>
        <w:tc>
          <w:tcPr>
            <w:tcW w:w="21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20402</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公安</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847.50</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847.50</w:t>
            </w:r>
          </w:p>
        </w:tc>
        <w:tc>
          <w:tcPr>
            <w:tcW w:w="21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2040201</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703.02</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703.02</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2040219</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94.48</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94.48</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2040299</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46.92</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46.92</w:t>
            </w:r>
          </w:p>
        </w:tc>
        <w:tc>
          <w:tcPr>
            <w:tcW w:w="21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45.77</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45.77</w:t>
            </w:r>
          </w:p>
        </w:tc>
        <w:tc>
          <w:tcPr>
            <w:tcW w:w="21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45.77</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45.77</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w:t>
            </w:r>
          </w:p>
        </w:tc>
        <w:tc>
          <w:tcPr>
            <w:tcW w:w="21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22.89</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22.89</w:t>
            </w:r>
          </w:p>
        </w:tc>
        <w:tc>
          <w:tcPr>
            <w:tcW w:w="21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22.89</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22.89</w:t>
            </w:r>
          </w:p>
        </w:tc>
        <w:tc>
          <w:tcPr>
            <w:tcW w:w="21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22.89</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22.89</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34.33</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34.33</w:t>
            </w:r>
          </w:p>
        </w:tc>
        <w:tc>
          <w:tcPr>
            <w:tcW w:w="21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28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34.33</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34.33</w:t>
            </w:r>
          </w:p>
        </w:tc>
        <w:tc>
          <w:tcPr>
            <w:tcW w:w="21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6"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w:t>
            </w:r>
          </w:p>
        </w:tc>
        <w:tc>
          <w:tcPr>
            <w:tcW w:w="21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rPr>
          <w:rFonts w:hint="eastAsia" w:ascii="黑体" w:hAnsi="宋体" w:eastAsia="黑体" w:cs="宋体"/>
          <w:kern w:val="0"/>
          <w:sz w:val="28"/>
          <w:szCs w:val="28"/>
          <w:lang w:eastAsia="zh-CN"/>
        </w:rPr>
        <w:sectPr>
          <w:footerReference r:id="rId5" w:type="default"/>
          <w:pgSz w:w="16838" w:h="11906" w:orient="landscape"/>
          <w:pgMar w:top="1803" w:right="1440" w:bottom="1803" w:left="1440" w:header="720" w:footer="720" w:gutter="0"/>
          <w:cols w:space="0" w:num="1"/>
          <w:docGrid w:type="lines" w:linePitch="332" w:charSpace="0"/>
        </w:sectPr>
      </w:pP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6"/>
        <w:gridCol w:w="222"/>
        <w:gridCol w:w="223"/>
        <w:gridCol w:w="3616"/>
        <w:gridCol w:w="1713"/>
        <w:gridCol w:w="1023"/>
        <w:gridCol w:w="721"/>
        <w:gridCol w:w="1124"/>
        <w:gridCol w:w="1124"/>
        <w:gridCol w:w="1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0"/>
            <w:tcBorders>
              <w:top w:val="nil"/>
              <w:left w:val="nil"/>
              <w:bottom w:val="nil"/>
              <w:right w:val="single" w:color="808080" w:sz="4" w:space="0"/>
            </w:tcBorders>
            <w:shd w:val="clear" w:color="auto" w:fill="FFFFFF"/>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0"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276"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05"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61"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55"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97"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97"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1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部门：信阳市森林公安局</w:t>
            </w:r>
          </w:p>
        </w:tc>
        <w:tc>
          <w:tcPr>
            <w:tcW w:w="7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276"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0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36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5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9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9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1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3"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0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361"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5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39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39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61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276"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05"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61"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55"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1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276" w:type="pct"/>
            <w:vMerge w:val="continue"/>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05"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61"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55"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1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276" w:type="pct"/>
            <w:vMerge w:val="continue"/>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05"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61"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55"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1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3"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05"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1"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5"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63"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1,036.05</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1,036.05</w:t>
            </w:r>
          </w:p>
        </w:tc>
        <w:tc>
          <w:tcPr>
            <w:tcW w:w="2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931.91</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931.91</w:t>
            </w:r>
          </w:p>
        </w:tc>
        <w:tc>
          <w:tcPr>
            <w:tcW w:w="2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20402</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公安</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931.91</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931.91</w:t>
            </w:r>
          </w:p>
        </w:tc>
        <w:tc>
          <w:tcPr>
            <w:tcW w:w="2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2040201</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787.43</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787.43</w:t>
            </w:r>
          </w:p>
        </w:tc>
        <w:tc>
          <w:tcPr>
            <w:tcW w:w="2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2040219</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94.48</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94.48</w:t>
            </w:r>
          </w:p>
        </w:tc>
        <w:tc>
          <w:tcPr>
            <w:tcW w:w="2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2040299</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2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46.92</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46.92</w:t>
            </w:r>
          </w:p>
        </w:tc>
        <w:tc>
          <w:tcPr>
            <w:tcW w:w="2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45.77</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45.77</w:t>
            </w:r>
          </w:p>
        </w:tc>
        <w:tc>
          <w:tcPr>
            <w:tcW w:w="2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45.77</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45.77</w:t>
            </w:r>
          </w:p>
        </w:tc>
        <w:tc>
          <w:tcPr>
            <w:tcW w:w="2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w:t>
            </w:r>
          </w:p>
        </w:tc>
        <w:tc>
          <w:tcPr>
            <w:tcW w:w="2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22.89</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22.89</w:t>
            </w:r>
          </w:p>
        </w:tc>
        <w:tc>
          <w:tcPr>
            <w:tcW w:w="2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22.89</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22.89</w:t>
            </w:r>
          </w:p>
        </w:tc>
        <w:tc>
          <w:tcPr>
            <w:tcW w:w="2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22.89</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22.89</w:t>
            </w:r>
          </w:p>
        </w:tc>
        <w:tc>
          <w:tcPr>
            <w:tcW w:w="2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34.33</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34.33</w:t>
            </w:r>
          </w:p>
        </w:tc>
        <w:tc>
          <w:tcPr>
            <w:tcW w:w="2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127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6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34.33</w:t>
            </w:r>
          </w:p>
        </w:tc>
        <w:tc>
          <w:tcPr>
            <w:tcW w:w="36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34.33</w:t>
            </w:r>
          </w:p>
        </w:tc>
        <w:tc>
          <w:tcPr>
            <w:tcW w:w="2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276"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60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w:t>
            </w:r>
          </w:p>
        </w:tc>
        <w:tc>
          <w:tcPr>
            <w:tcW w:w="36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w:t>
            </w:r>
          </w:p>
        </w:tc>
        <w:tc>
          <w:tcPr>
            <w:tcW w:w="2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9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rPr>
          <w:rFonts w:hint="eastAsia" w:ascii="黑体" w:hAnsi="宋体" w:eastAsia="黑体" w:cs="宋体"/>
          <w:kern w:val="0"/>
          <w:sz w:val="28"/>
          <w:szCs w:val="28"/>
        </w:rPr>
        <w:sectPr>
          <w:footerReference r:id="rId6" w:type="default"/>
          <w:pgSz w:w="16838" w:h="11906" w:orient="landscape"/>
          <w:pgMar w:top="1803" w:right="1440" w:bottom="1803" w:left="1440" w:header="720" w:footer="720" w:gutter="0"/>
          <w:cols w:space="0" w:num="1"/>
          <w:docGrid w:type="lines" w:linePitch="332" w:charSpace="0"/>
        </w:sect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6"/>
        <w:gridCol w:w="616"/>
        <w:gridCol w:w="856"/>
        <w:gridCol w:w="2316"/>
        <w:gridCol w:w="1151"/>
        <w:gridCol w:w="856"/>
        <w:gridCol w:w="2129"/>
        <w:gridCol w:w="1741"/>
        <w:gridCol w:w="1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9"/>
            <w:tcBorders>
              <w:top w:val="nil"/>
              <w:left w:val="nil"/>
              <w:bottom w:val="nil"/>
              <w:right w:val="single" w:color="808080" w:sz="4" w:space="0"/>
            </w:tcBorders>
            <w:shd w:val="clear" w:color="auto" w:fill="FFFFFF"/>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部门：信阳市森林公安局</w:t>
            </w: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vMerge w:val="restart"/>
            <w:tcBorders>
              <w:top w:val="nil"/>
              <w:left w:val="nil"/>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0" w:type="auto"/>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0" w:type="auto"/>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bottom"/>
          </w:tcPr>
          <w:p>
            <w:pPr>
              <w:keepNext w:val="0"/>
              <w:keepLines w:val="0"/>
              <w:widowControl/>
              <w:suppressLineNumbers w:val="0"/>
              <w:jc w:val="both"/>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951.64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931.91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931.91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3"/>
                <w:szCs w:val="13"/>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3"/>
                <w:szCs w:val="13"/>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951.64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1,036.05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1,036.05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88.09</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1,039.74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1,039.74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1,039.74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bl>
    <w:p>
      <w:pPr>
        <w:rPr>
          <w:rFonts w:hint="eastAsia" w:ascii="黑体" w:hAnsi="宋体" w:eastAsia="黑体" w:cs="宋体"/>
          <w:kern w:val="0"/>
          <w:sz w:val="28"/>
          <w:szCs w:val="28"/>
        </w:rPr>
        <w:sectPr>
          <w:footerReference r:id="rId7" w:type="default"/>
          <w:pgSz w:w="16838" w:h="11906" w:orient="landscape"/>
          <w:pgMar w:top="1803" w:right="1440" w:bottom="1803" w:left="1440" w:header="720" w:footer="720" w:gutter="0"/>
          <w:cols w:space="0" w:num="1"/>
          <w:docGrid w:type="lines" w:linePitch="332" w:charSpace="0"/>
        </w:sectPr>
      </w:pPr>
    </w:p>
    <w:p>
      <w:pPr>
        <w:keepNext w:val="0"/>
        <w:keepLines w:val="0"/>
        <w:widowControl/>
        <w:suppressLineNumbers w:val="0"/>
        <w:rPr>
          <w:rFonts w:hint="eastAsia" w:ascii="宋体" w:hAnsi="宋体" w:eastAsia="宋体" w:cs="宋体"/>
          <w:vanish/>
          <w:kern w:val="0"/>
          <w:sz w:val="24"/>
          <w:szCs w:val="24"/>
        </w:rPr>
      </w:pPr>
      <w:r>
        <w:rPr>
          <w:rFonts w:hint="eastAsia" w:ascii="宋体" w:hAnsi="宋体" w:eastAsia="宋体" w:cs="宋体"/>
          <w:vanish/>
          <w:kern w:val="0"/>
          <w:sz w:val="24"/>
          <w:szCs w:val="24"/>
        </w:rPr>
        <w:t xml:space="preserve"> </w:t>
      </w: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6"/>
        <w:gridCol w:w="222"/>
        <w:gridCol w:w="223"/>
        <w:gridCol w:w="4712"/>
        <w:gridCol w:w="2044"/>
        <w:gridCol w:w="2153"/>
        <w:gridCol w:w="2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7"/>
            <w:tcBorders>
              <w:top w:val="nil"/>
              <w:left w:val="nil"/>
              <w:bottom w:val="nil"/>
              <w:right w:val="single" w:color="808080" w:sz="4" w:space="0"/>
            </w:tcBorders>
            <w:shd w:val="clear" w:color="auto" w:fill="FFFFFF"/>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0"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664"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22"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60"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64"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部门：信阳市森林公安局</w:t>
            </w:r>
          </w:p>
        </w:tc>
        <w:tc>
          <w:tcPr>
            <w:tcW w:w="7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664"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72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6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64"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51"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248"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664"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22"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6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64"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664" w:type="pct"/>
            <w:vMerge w:val="continue"/>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22"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60"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64"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664" w:type="pct"/>
            <w:vMerge w:val="continue"/>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22"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60"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64"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51"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2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51"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2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1,036.05</w:t>
            </w:r>
          </w:p>
        </w:tc>
        <w:tc>
          <w:tcPr>
            <w:tcW w:w="7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1,036.05</w:t>
            </w:r>
          </w:p>
        </w:tc>
        <w:tc>
          <w:tcPr>
            <w:tcW w:w="7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16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72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931.91</w:t>
            </w:r>
          </w:p>
        </w:tc>
        <w:tc>
          <w:tcPr>
            <w:tcW w:w="7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931.91</w:t>
            </w:r>
          </w:p>
        </w:tc>
        <w:tc>
          <w:tcPr>
            <w:tcW w:w="7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20402</w:t>
            </w:r>
          </w:p>
        </w:tc>
        <w:tc>
          <w:tcPr>
            <w:tcW w:w="16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公安</w:t>
            </w:r>
          </w:p>
        </w:tc>
        <w:tc>
          <w:tcPr>
            <w:tcW w:w="72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931.91</w:t>
            </w:r>
          </w:p>
        </w:tc>
        <w:tc>
          <w:tcPr>
            <w:tcW w:w="7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931.91</w:t>
            </w:r>
          </w:p>
        </w:tc>
        <w:tc>
          <w:tcPr>
            <w:tcW w:w="7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2040201</w:t>
            </w:r>
          </w:p>
        </w:tc>
        <w:tc>
          <w:tcPr>
            <w:tcW w:w="166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72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787.43</w:t>
            </w:r>
          </w:p>
        </w:tc>
        <w:tc>
          <w:tcPr>
            <w:tcW w:w="7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787.43</w:t>
            </w:r>
          </w:p>
        </w:tc>
        <w:tc>
          <w:tcPr>
            <w:tcW w:w="7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2040219</w:t>
            </w:r>
          </w:p>
        </w:tc>
        <w:tc>
          <w:tcPr>
            <w:tcW w:w="166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信息化建设</w:t>
            </w:r>
          </w:p>
        </w:tc>
        <w:tc>
          <w:tcPr>
            <w:tcW w:w="72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94.48</w:t>
            </w:r>
          </w:p>
        </w:tc>
        <w:tc>
          <w:tcPr>
            <w:tcW w:w="7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94.48</w:t>
            </w:r>
          </w:p>
        </w:tc>
        <w:tc>
          <w:tcPr>
            <w:tcW w:w="7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2040299</w:t>
            </w:r>
          </w:p>
        </w:tc>
        <w:tc>
          <w:tcPr>
            <w:tcW w:w="166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72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6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72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46.92</w:t>
            </w:r>
          </w:p>
        </w:tc>
        <w:tc>
          <w:tcPr>
            <w:tcW w:w="7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46.92</w:t>
            </w:r>
          </w:p>
        </w:tc>
        <w:tc>
          <w:tcPr>
            <w:tcW w:w="7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6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72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45.77</w:t>
            </w:r>
          </w:p>
        </w:tc>
        <w:tc>
          <w:tcPr>
            <w:tcW w:w="7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45.77</w:t>
            </w:r>
          </w:p>
        </w:tc>
        <w:tc>
          <w:tcPr>
            <w:tcW w:w="7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66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72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45.77</w:t>
            </w:r>
          </w:p>
        </w:tc>
        <w:tc>
          <w:tcPr>
            <w:tcW w:w="7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45.77</w:t>
            </w:r>
          </w:p>
        </w:tc>
        <w:tc>
          <w:tcPr>
            <w:tcW w:w="7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16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72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w:t>
            </w:r>
          </w:p>
        </w:tc>
        <w:tc>
          <w:tcPr>
            <w:tcW w:w="7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1.14</w:t>
            </w:r>
          </w:p>
        </w:tc>
        <w:tc>
          <w:tcPr>
            <w:tcW w:w="7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166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72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7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7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6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72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22.89</w:t>
            </w:r>
          </w:p>
        </w:tc>
        <w:tc>
          <w:tcPr>
            <w:tcW w:w="7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22.89</w:t>
            </w:r>
          </w:p>
        </w:tc>
        <w:tc>
          <w:tcPr>
            <w:tcW w:w="7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6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72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22.89</w:t>
            </w:r>
          </w:p>
        </w:tc>
        <w:tc>
          <w:tcPr>
            <w:tcW w:w="7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22.89</w:t>
            </w:r>
          </w:p>
        </w:tc>
        <w:tc>
          <w:tcPr>
            <w:tcW w:w="7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66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72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22.89</w:t>
            </w:r>
          </w:p>
        </w:tc>
        <w:tc>
          <w:tcPr>
            <w:tcW w:w="7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22.89</w:t>
            </w:r>
          </w:p>
        </w:tc>
        <w:tc>
          <w:tcPr>
            <w:tcW w:w="7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16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72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34.33</w:t>
            </w:r>
          </w:p>
        </w:tc>
        <w:tc>
          <w:tcPr>
            <w:tcW w:w="7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34.33</w:t>
            </w:r>
          </w:p>
        </w:tc>
        <w:tc>
          <w:tcPr>
            <w:tcW w:w="7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16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72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34.33</w:t>
            </w:r>
          </w:p>
        </w:tc>
        <w:tc>
          <w:tcPr>
            <w:tcW w:w="76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34.33</w:t>
            </w:r>
          </w:p>
        </w:tc>
        <w:tc>
          <w:tcPr>
            <w:tcW w:w="7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66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72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w:t>
            </w:r>
          </w:p>
        </w:tc>
        <w:tc>
          <w:tcPr>
            <w:tcW w:w="76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34.33</w:t>
            </w:r>
          </w:p>
        </w:tc>
        <w:tc>
          <w:tcPr>
            <w:tcW w:w="7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rPr>
          <w:rFonts w:hint="eastAsia" w:ascii="宋体" w:hAnsi="宋体" w:eastAsia="宋体" w:cs="宋体"/>
          <w:i w:val="0"/>
          <w:iCs w:val="0"/>
          <w:color w:val="000000"/>
          <w:kern w:val="0"/>
          <w:sz w:val="20"/>
          <w:szCs w:val="20"/>
        </w:rPr>
        <w:sectPr>
          <w:footerReference r:id="rId8" w:type="default"/>
          <w:pgSz w:w="16838" w:h="11906" w:orient="landscape"/>
          <w:pgMar w:top="1803" w:right="1440" w:bottom="1803" w:left="1440" w:header="720" w:footer="720" w:gutter="0"/>
          <w:cols w:space="0" w:num="1"/>
          <w:docGrid w:type="lines" w:linePitch="332" w:charSpace="0"/>
        </w:sectPr>
      </w:pPr>
    </w:p>
    <w:tbl>
      <w:tblPr>
        <w:tblStyle w:val="12"/>
        <w:tblW w:w="15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2"/>
        <w:gridCol w:w="3345"/>
        <w:gridCol w:w="970"/>
        <w:gridCol w:w="815"/>
        <w:gridCol w:w="2460"/>
        <w:gridCol w:w="1050"/>
        <w:gridCol w:w="780"/>
        <w:gridCol w:w="3705"/>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24" w:type="dxa"/>
            <w:gridSpan w:val="9"/>
            <w:tcBorders>
              <w:top w:val="nil"/>
              <w:left w:val="nil"/>
              <w:bottom w:val="nil"/>
              <w:right w:val="single" w:color="808080" w:sz="4" w:space="0"/>
            </w:tcBorders>
            <w:shd w:val="clear" w:color="auto" w:fill="FFFFFF"/>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345" w:type="dxa"/>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970" w:type="dxa"/>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815" w:type="dxa"/>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460" w:type="dxa"/>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0" w:type="dxa"/>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4832" w:type="dxa"/>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7" w:type="dxa"/>
            <w:gridSpan w:val="2"/>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部门：信阳市森林公安局</w:t>
            </w:r>
          </w:p>
        </w:tc>
        <w:tc>
          <w:tcPr>
            <w:tcW w:w="970"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815"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460"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rPr>
                <w:rFonts w:hint="default"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2021年度</w:t>
            </w:r>
          </w:p>
        </w:tc>
        <w:tc>
          <w:tcPr>
            <w:tcW w:w="1050"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0"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4832"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7"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9937"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编码</w:t>
            </w:r>
          </w:p>
        </w:tc>
        <w:tc>
          <w:tcPr>
            <w:tcW w:w="334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7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81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46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5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8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70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2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345" w:type="dxa"/>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970" w:type="dxa"/>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815" w:type="dxa"/>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460" w:type="dxa"/>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705" w:type="dxa"/>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127" w:type="dxa"/>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793.24</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156.69</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352.44</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200.98</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50.86</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27.76</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49.38</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w:t>
            </w:r>
            <w:r>
              <w:rPr>
                <w:rFonts w:hint="eastAsia"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境</w:t>
            </w:r>
            <w:r>
              <w:rPr>
                <w:rFonts w:hint="eastAsia"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费用</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46.26</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24.75</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15.53</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2"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334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81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4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05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78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370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17"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97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793.24</w:t>
            </w:r>
          </w:p>
        </w:tc>
        <w:tc>
          <w:tcPr>
            <w:tcW w:w="8810" w:type="dxa"/>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12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24"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24" w:type="dxa"/>
            <w:gridSpan w:val="9"/>
            <w:tcBorders>
              <w:top w:val="nil"/>
              <w:left w:val="nil"/>
              <w:bottom w:val="nil"/>
              <w:right w:val="single" w:color="808080" w:sz="4" w:space="0"/>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r>
    </w:tbl>
    <w:p>
      <w:pPr>
        <w:rPr>
          <w:rFonts w:hint="eastAsia" w:ascii="黑体" w:hAnsi="宋体" w:eastAsia="黑体" w:cs="宋体"/>
          <w:kern w:val="0"/>
          <w:sz w:val="28"/>
          <w:szCs w:val="28"/>
        </w:rPr>
        <w:sectPr>
          <w:footerReference r:id="rId9" w:type="default"/>
          <w:pgSz w:w="16838" w:h="11906" w:orient="landscape"/>
          <w:pgMar w:top="1803" w:right="1440" w:bottom="1803" w:left="1440" w:header="720" w:footer="720" w:gutter="0"/>
          <w:cols w:space="0" w:num="1"/>
          <w:docGrid w:type="lines" w:linePitch="332" w:charSpace="0"/>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7"/>
        <w:gridCol w:w="816"/>
        <w:gridCol w:w="716"/>
        <w:gridCol w:w="616"/>
        <w:gridCol w:w="716"/>
        <w:gridCol w:w="4073"/>
        <w:gridCol w:w="716"/>
        <w:gridCol w:w="816"/>
        <w:gridCol w:w="716"/>
        <w:gridCol w:w="617"/>
        <w:gridCol w:w="717"/>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12"/>
            <w:tcBorders>
              <w:top w:val="nil"/>
              <w:left w:val="nil"/>
              <w:bottom w:val="nil"/>
              <w:right w:val="single" w:color="808080" w:sz="4" w:space="0"/>
            </w:tcBorders>
            <w:shd w:val="clear" w:color="auto" w:fill="FFFFFF"/>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44"/>
                <w:szCs w:val="44"/>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8" w:type="pct"/>
            <w:gridSpan w:val="2"/>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bookmarkStart w:id="0" w:name="_GoBack"/>
            <w:bookmarkEnd w:id="0"/>
          </w:p>
        </w:tc>
        <w:tc>
          <w:tcPr>
            <w:tcW w:w="252"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17"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52"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437"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52"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87"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52"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17"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52"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1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8" w:type="pct"/>
            <w:gridSpan w:val="2"/>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部门：信阳市森林公安局</w:t>
            </w:r>
          </w:p>
        </w:tc>
        <w:tc>
          <w:tcPr>
            <w:tcW w:w="25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1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5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43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2021年度</w:t>
            </w:r>
          </w:p>
        </w:tc>
        <w:tc>
          <w:tcPr>
            <w:tcW w:w="25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8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5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1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5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1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7" w:type="pct"/>
            <w:gridSpan w:val="6"/>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882" w:type="pct"/>
            <w:gridSpan w:val="6"/>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0" w:type="pct"/>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8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722"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43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252"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8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722"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61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0" w:type="pct"/>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87"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5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25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437"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52"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87"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5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25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619"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0" w:type="pc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3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8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1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1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0" w:type="pct"/>
            <w:tcBorders>
              <w:top w:val="nil"/>
              <w:left w:val="single" w:color="000000" w:sz="4" w:space="0"/>
              <w:bottom w:val="single" w:color="000000" w:sz="4" w:space="0"/>
              <w:right w:val="single" w:color="000000" w:sz="4" w:space="0"/>
            </w:tcBorders>
            <w:shd w:val="clear" w:color="auto" w:fill="00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52" w:type="pct"/>
            <w:tcBorders>
              <w:top w:val="nil"/>
              <w:left w:val="nil"/>
              <w:bottom w:val="single" w:color="000000" w:sz="4" w:space="0"/>
              <w:right w:val="single" w:color="000000" w:sz="4" w:space="0"/>
            </w:tcBorders>
            <w:shd w:val="clear" w:color="auto" w:fill="00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2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14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15.77</w:t>
            </w:r>
          </w:p>
        </w:tc>
        <w:tc>
          <w:tcPr>
            <w:tcW w:w="2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15.53</w:t>
            </w:r>
          </w:p>
        </w:tc>
        <w:tc>
          <w:tcPr>
            <w:tcW w:w="2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15.53</w:t>
            </w:r>
          </w:p>
        </w:tc>
        <w:tc>
          <w:tcPr>
            <w:tcW w:w="61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rPr>
          <w:rFonts w:hint="eastAsia" w:ascii="黑体" w:hAnsi="宋体" w:eastAsia="黑体" w:cs="宋体"/>
          <w:kern w:val="0"/>
          <w:sz w:val="28"/>
          <w:szCs w:val="28"/>
        </w:rPr>
        <w:sectPr>
          <w:footerReference r:id="rId10" w:type="default"/>
          <w:pgSz w:w="16838" w:h="11906" w:orient="landscape"/>
          <w:pgMar w:top="1803" w:right="1440" w:bottom="1803" w:left="1440" w:header="720" w:footer="720" w:gutter="0"/>
          <w:cols w:space="0" w:num="1"/>
          <w:docGrid w:type="lines" w:linePitch="332" w:charSpace="0"/>
        </w:sectPr>
      </w:pP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6"/>
        <w:gridCol w:w="222"/>
        <w:gridCol w:w="223"/>
        <w:gridCol w:w="1124"/>
        <w:gridCol w:w="5613"/>
        <w:gridCol w:w="645"/>
        <w:gridCol w:w="646"/>
        <w:gridCol w:w="646"/>
        <w:gridCol w:w="646"/>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0"/>
            <w:tcBorders>
              <w:top w:val="nil"/>
              <w:left w:val="nil"/>
              <w:bottom w:val="nil"/>
              <w:right w:val="single" w:color="808080" w:sz="4" w:space="0"/>
            </w:tcBorders>
            <w:shd w:val="clear" w:color="auto" w:fill="FFFFFF"/>
            <w:noWrap/>
            <w:vAlign w:val="center"/>
          </w:tcPr>
          <w:p>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0"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97"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982"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28"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28"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28"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28" w:type="pct"/>
            <w:tcBorders>
              <w:top w:val="nil"/>
              <w:left w:val="nil"/>
              <w:bottom w:val="nil"/>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20"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部门：信阳市森林公安局</w:t>
            </w:r>
          </w:p>
        </w:tc>
        <w:tc>
          <w:tcPr>
            <w:tcW w:w="7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7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39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198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22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2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2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22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18"/>
                <w:szCs w:val="18"/>
                <w:u w:val="none"/>
              </w:rPr>
            </w:pPr>
          </w:p>
        </w:tc>
        <w:tc>
          <w:tcPr>
            <w:tcW w:w="620"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4"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982"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22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684"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620"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97"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982"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28"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2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2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2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620"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982"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28"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28"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28"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28"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20"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397" w:type="pct"/>
            <w:vMerge w:val="continue"/>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1982"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28"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28"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28"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228"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c>
          <w:tcPr>
            <w:tcW w:w="620" w:type="pct"/>
            <w:vMerge w:val="continue"/>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4"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98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4"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c>
          <w:tcPr>
            <w:tcW w:w="6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397"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p>
        </w:tc>
        <w:tc>
          <w:tcPr>
            <w:tcW w:w="19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22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c>
          <w:tcPr>
            <w:tcW w:w="62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0"/>
                <w:szCs w:val="20"/>
              </w:rPr>
              <w:t>说明：我部门没有政府性基金收入，也没有使用政府性基金安排的支出，故本表无数据。</w:t>
            </w:r>
          </w:p>
        </w:tc>
      </w:tr>
    </w:tbl>
    <w:p>
      <w:pPr>
        <w:rPr>
          <w:rFonts w:hint="eastAsia" w:ascii="黑体" w:hAnsi="宋体" w:eastAsia="黑体" w:cs="宋体"/>
          <w:kern w:val="0"/>
          <w:sz w:val="28"/>
          <w:szCs w:val="28"/>
        </w:rPr>
        <w:sectPr>
          <w:footerReference r:id="rId11" w:type="default"/>
          <w:pgSz w:w="16838" w:h="11906" w:orient="landscape"/>
          <w:pgMar w:top="1803" w:right="1440" w:bottom="1803" w:left="1440" w:header="720" w:footer="720" w:gutter="0"/>
          <w:cols w:space="0" w:num="1"/>
          <w:docGrid w:type="lines" w:linePitch="332" w:charSpace="0"/>
        </w:sectPr>
      </w:pP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center"/>
        <w:outlineLvl w:val="0"/>
        <w:rPr>
          <w:rFonts w:hint="eastAsia" w:ascii="黑体" w:hAnsi="宋体" w:eastAsia="黑体" w:cs="黑体"/>
          <w:kern w:val="0"/>
          <w:sz w:val="48"/>
          <w:szCs w:val="48"/>
        </w:rPr>
      </w:pPr>
      <w:r>
        <w:rPr>
          <w:rFonts w:hint="eastAsia" w:ascii="黑体" w:hAnsi="宋体" w:eastAsia="黑体" w:cs="黑体"/>
          <w:kern w:val="0"/>
          <w:sz w:val="48"/>
          <w:szCs w:val="48"/>
        </w:rPr>
        <w:t>第三部分 2021年度部门决算情况说明</w:t>
      </w:r>
    </w:p>
    <w:p>
      <w:pPr>
        <w:rPr>
          <w:rFonts w:hint="eastAsia" w:ascii="黑体" w:hAnsi="宋体" w:eastAsia="黑体" w:cs="黑体"/>
          <w:kern w:val="0"/>
          <w:sz w:val="48"/>
          <w:szCs w:val="48"/>
        </w:rPr>
        <w:sectPr>
          <w:footerReference r:id="rId12" w:type="default"/>
          <w:pgSz w:w="11906" w:h="16838"/>
          <w:pgMar w:top="1440" w:right="1803" w:bottom="1440" w:left="1803" w:header="720" w:footer="720" w:gutter="0"/>
          <w:cols w:space="0" w:num="1"/>
          <w:docGrid w:type="lines" w:linePitch="332" w:charSpace="0"/>
        </w:sectPr>
      </w:pPr>
    </w:p>
    <w:p>
      <w:pPr>
        <w:keepNext w:val="0"/>
        <w:keepLines w:val="0"/>
        <w:widowControl/>
        <w:suppressLineNumbers w:val="0"/>
        <w:autoSpaceDE w:val="0"/>
        <w:autoSpaceDN/>
        <w:spacing w:line="590" w:lineRule="exact"/>
        <w:ind w:left="0" w:firstLine="640" w:firstLineChars="200"/>
        <w:jc w:val="both"/>
        <w:outlineLvl w:val="1"/>
        <w:rPr>
          <w:rFonts w:hint="eastAsia" w:ascii="黑体" w:hAnsi="宋体" w:eastAsia="黑体" w:cs="黑体"/>
          <w:kern w:val="0"/>
          <w:sz w:val="32"/>
          <w:szCs w:val="32"/>
        </w:rPr>
      </w:pPr>
      <w:r>
        <w:rPr>
          <w:rFonts w:hint="eastAsia" w:ascii="黑体" w:hAnsi="宋体" w:eastAsia="黑体" w:cs="黑体"/>
          <w:kern w:val="0"/>
          <w:sz w:val="32"/>
          <w:szCs w:val="32"/>
        </w:rPr>
        <w:t>一、收入支出决算总体情况说明</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2021年度收、支总计均为</w:t>
      </w:r>
      <w:r>
        <w:rPr>
          <w:sz w:val="32"/>
          <w:szCs w:val="32"/>
          <w:shd w:val="clear" w:fill="FFFFFF"/>
        </w:rPr>
        <w:t>1,039.74</w:t>
      </w:r>
      <w:r>
        <w:rPr>
          <w:rFonts w:hint="eastAsia" w:ascii="仿宋_GB2312" w:hAnsi="宋体" w:eastAsia="仿宋_GB2312" w:cs="仿宋_GB2312"/>
          <w:kern w:val="0"/>
          <w:sz w:val="32"/>
          <w:szCs w:val="32"/>
        </w:rPr>
        <w:t>万元。与上年度相比，收、支总计各135.43万元，增长14.98%。主要原因是人员经费及专项经费变动。</w:t>
      </w:r>
    </w:p>
    <w:p>
      <w:pPr>
        <w:keepNext w:val="0"/>
        <w:keepLines w:val="0"/>
        <w:widowControl/>
        <w:numPr>
          <w:ilvl w:val="0"/>
          <w:numId w:val="0"/>
        </w:numPr>
        <w:suppressLineNumbers w:val="0"/>
        <w:tabs>
          <w:tab w:val="left" w:pos="0"/>
        </w:tabs>
        <w:autoSpaceDE w:val="0"/>
        <w:autoSpaceDN/>
        <w:spacing w:line="590" w:lineRule="exact"/>
        <w:ind w:leftChars="200" w:right="0" w:rightChars="0"/>
        <w:jc w:val="both"/>
        <w:outlineLvl w:val="1"/>
        <w:rPr>
          <w:rFonts w:hint="eastAsia" w:ascii="黑体" w:hAnsi="宋体" w:eastAsia="黑体" w:cs="黑体"/>
          <w:kern w:val="0"/>
          <w:sz w:val="32"/>
          <w:szCs w:val="32"/>
        </w:rPr>
      </w:pPr>
      <w:r>
        <w:rPr>
          <w:rFonts w:hint="eastAsia" w:ascii="黑体" w:eastAsia="黑体" w:cs="黑体"/>
          <w:kern w:val="0"/>
          <w:sz w:val="32"/>
          <w:szCs w:val="32"/>
          <w:lang w:eastAsia="zh-CN"/>
        </w:rPr>
        <w:t>二、</w:t>
      </w:r>
      <w:r>
        <w:rPr>
          <w:rFonts w:hint="eastAsia" w:ascii="黑体" w:hAnsi="宋体" w:eastAsia="黑体" w:cs="黑体"/>
          <w:kern w:val="0"/>
          <w:sz w:val="32"/>
          <w:szCs w:val="32"/>
        </w:rPr>
        <w:t>收入决算情况说明</w:t>
      </w:r>
    </w:p>
    <w:p>
      <w:pPr>
        <w:keepNext w:val="0"/>
        <w:keepLines w:val="0"/>
        <w:widowControl/>
        <w:numPr>
          <w:ilvl w:val="0"/>
          <w:numId w:val="0"/>
        </w:numPr>
        <w:suppressLineNumbers w:val="0"/>
        <w:tabs>
          <w:tab w:val="left" w:pos="0"/>
        </w:tabs>
        <w:autoSpaceDE w:val="0"/>
        <w:autoSpaceDN/>
        <w:spacing w:line="590" w:lineRule="exact"/>
        <w:ind w:left="0" w:leftChars="0" w:right="0" w:rightChars="0" w:firstLine="480" w:firstLineChars="150"/>
        <w:jc w:val="both"/>
        <w:outlineLvl w:val="1"/>
        <w:rPr>
          <w:rFonts w:hint="eastAsia" w:ascii="黑体" w:hAnsi="宋体" w:eastAsia="黑体" w:cs="黑体"/>
          <w:kern w:val="0"/>
          <w:sz w:val="32"/>
          <w:szCs w:val="32"/>
        </w:rPr>
      </w:pPr>
      <w:r>
        <w:rPr>
          <w:rFonts w:hint="eastAsia" w:ascii="仿宋_GB2312" w:hAnsi="宋体" w:eastAsia="仿宋_GB2312" w:cs="仿宋_GB2312"/>
          <w:kern w:val="0"/>
          <w:sz w:val="32"/>
          <w:szCs w:val="32"/>
          <w:lang w:val="en-US" w:eastAsia="zh-CN" w:bidi="ar"/>
        </w:rPr>
        <w:t>2021 年度收入合计951.64万元，其中：财政拨款收入 951.64万元，占 100.00%；上级补助 收入0.00万元，占0.00%；事业收入0.00万元，占 0.00%；经营收入0.00万元，占0.00%；附属单位上缴收入 0.00万元，占0.00%；其他收入0.00万元，占 0.00%。</w:t>
      </w:r>
      <w:r>
        <w:rPr>
          <w:rFonts w:hint="eastAsia" w:ascii="仿宋_GB2312" w:hAnsi="宋体" w:eastAsia="仿宋_GB2312" w:cs="仿宋_GB2312"/>
          <w:kern w:val="0"/>
          <w:sz w:val="32"/>
          <w:szCs w:val="32"/>
          <w:lang w:val="en-US" w:eastAsia="zh-CN" w:bidi="ar"/>
        </w:rPr>
        <w:br w:type="textWrapping"/>
      </w:r>
      <w:r>
        <w:rPr>
          <w:rFonts w:hint="eastAsia" w:ascii="仿宋_GB2312" w:eastAsia="仿宋_GB2312" w:cs="仿宋_GB2312"/>
          <w:kern w:val="0"/>
          <w:sz w:val="32"/>
          <w:szCs w:val="32"/>
          <w:lang w:val="en-US" w:eastAsia="zh-CN" w:bidi="ar"/>
        </w:rPr>
        <w:t xml:space="preserve">    </w:t>
      </w:r>
      <w:r>
        <w:rPr>
          <w:rFonts w:hint="eastAsia" w:ascii="黑体" w:hAnsi="宋体" w:eastAsia="黑体" w:cs="黑体"/>
          <w:kern w:val="0"/>
          <w:sz w:val="32"/>
          <w:szCs w:val="32"/>
        </w:rPr>
        <w:t>三、支出决算情况说明</w:t>
      </w:r>
    </w:p>
    <w:p>
      <w:pPr>
        <w:keepNext w:val="0"/>
        <w:keepLines w:val="0"/>
        <w:widowControl/>
        <w:suppressLineNumbers w:val="0"/>
        <w:autoSpaceDE w:val="0"/>
        <w:autoSpaceDN/>
        <w:spacing w:line="590" w:lineRule="exact"/>
        <w:ind w:left="0" w:firstLine="640" w:firstLineChars="200"/>
        <w:jc w:val="both"/>
        <w:outlineLvl w:val="1"/>
        <w:rPr>
          <w:rFonts w:hint="eastAsia" w:ascii="黑体" w:hAnsi="宋体" w:eastAsia="黑体" w:cs="黑体"/>
          <w:kern w:val="0"/>
          <w:sz w:val="32"/>
          <w:szCs w:val="32"/>
        </w:rPr>
      </w:pPr>
      <w:r>
        <w:rPr>
          <w:rFonts w:hint="eastAsia" w:ascii="仿宋_GB2312" w:hAnsi="宋体" w:eastAsia="仿宋_GB2312" w:cs="仿宋_GB2312"/>
          <w:kern w:val="0"/>
          <w:sz w:val="32"/>
          <w:szCs w:val="32"/>
          <w:lang w:val="en-US" w:eastAsia="zh-CN" w:bidi="ar"/>
        </w:rPr>
        <w:t>2021年度支出合计 1,036.05万元，其中：基本支出1,036.05 万元，占100.00%；项目支出 0.00万元，占0.00%；上缴上级支出0.00万元，占 0.00%；经营支出0.00万元，占0.00%；对附属单位补助支出 0.00万元，占0.00%。</w:t>
      </w:r>
      <w:r>
        <w:rPr>
          <w:rFonts w:hint="eastAsia" w:ascii="仿宋_GB2312" w:hAnsi="宋体" w:eastAsia="仿宋_GB2312" w:cs="仿宋_GB2312"/>
          <w:kern w:val="0"/>
          <w:sz w:val="32"/>
          <w:szCs w:val="32"/>
          <w:lang w:val="en-US" w:eastAsia="zh-CN" w:bidi="ar"/>
        </w:rPr>
        <w:br w:type="textWrapping"/>
      </w:r>
      <w:r>
        <w:rPr>
          <w:rFonts w:hint="eastAsia" w:ascii="仿宋_GB2312" w:eastAsia="仿宋_GB2312" w:cs="仿宋_GB2312"/>
          <w:kern w:val="0"/>
          <w:sz w:val="32"/>
          <w:szCs w:val="32"/>
          <w:lang w:val="en-US" w:eastAsia="zh-CN" w:bidi="ar"/>
        </w:rPr>
        <w:t xml:space="preserve">    </w:t>
      </w:r>
      <w:r>
        <w:rPr>
          <w:rFonts w:hint="eastAsia" w:ascii="黑体" w:hAnsi="宋体" w:eastAsia="黑体" w:cs="黑体"/>
          <w:kern w:val="0"/>
          <w:sz w:val="32"/>
          <w:szCs w:val="32"/>
        </w:rPr>
        <w:t>四、财政拨款收入支出决算总体情况说明</w:t>
      </w:r>
    </w:p>
    <w:p>
      <w:pPr>
        <w:keepNext w:val="0"/>
        <w:keepLines w:val="0"/>
        <w:widowControl/>
        <w:suppressLineNumbers w:val="0"/>
        <w:autoSpaceDE w:val="0"/>
        <w:autoSpaceDN/>
        <w:spacing w:line="590" w:lineRule="exact"/>
        <w:ind w:left="0" w:firstLine="640" w:firstLineChars="200"/>
        <w:jc w:val="both"/>
        <w:outlineLvl w:val="1"/>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2021年度财政拨款收、支总计均为 1,039.74万元。与上年度相比，财政拨款收、支总计各增加135.43万元，增长14.98%。主要原因是</w:t>
      </w:r>
      <w:r>
        <w:rPr>
          <w:rFonts w:hint="eastAsia" w:ascii="仿宋_GB2312" w:hAnsi="宋体" w:eastAsia="仿宋_GB2312" w:cs="仿宋_GB2312"/>
          <w:kern w:val="0"/>
          <w:sz w:val="32"/>
          <w:szCs w:val="32"/>
        </w:rPr>
        <w:t>人员经费及专项经费变动</w:t>
      </w:r>
      <w:r>
        <w:rPr>
          <w:rFonts w:hint="eastAsia" w:ascii="仿宋_GB2312" w:eastAsia="仿宋_GB2312" w:cs="仿宋_GB2312"/>
          <w:kern w:val="0"/>
          <w:sz w:val="32"/>
          <w:szCs w:val="32"/>
          <w:lang w:eastAsia="zh-CN"/>
        </w:rPr>
        <w:t>。</w:t>
      </w:r>
    </w:p>
    <w:p>
      <w:pPr>
        <w:keepNext w:val="0"/>
        <w:keepLines w:val="0"/>
        <w:widowControl/>
        <w:suppressLineNumbers w:val="0"/>
        <w:autoSpaceDE w:val="0"/>
        <w:autoSpaceDN/>
        <w:spacing w:line="590" w:lineRule="exact"/>
        <w:ind w:left="0" w:firstLine="640" w:firstLineChars="200"/>
        <w:jc w:val="both"/>
        <w:outlineLvl w:val="1"/>
        <w:rPr>
          <w:rFonts w:hint="eastAsia" w:ascii="黑体" w:hAnsi="宋体" w:eastAsia="黑体" w:cs="黑体"/>
          <w:kern w:val="0"/>
          <w:sz w:val="32"/>
          <w:szCs w:val="32"/>
        </w:rPr>
      </w:pPr>
      <w:r>
        <w:rPr>
          <w:rFonts w:hint="eastAsia" w:ascii="黑体" w:hAnsi="宋体" w:eastAsia="黑体" w:cs="黑体"/>
          <w:kern w:val="0"/>
          <w:sz w:val="32"/>
          <w:szCs w:val="32"/>
        </w:rPr>
        <w:t>五、一般公共预算财政拨款支出决算情况说明</w:t>
      </w:r>
    </w:p>
    <w:p>
      <w:pPr>
        <w:keepNext w:val="0"/>
        <w:keepLines w:val="0"/>
        <w:widowControl/>
        <w:suppressLineNumbers w:val="0"/>
        <w:autoSpaceDE w:val="0"/>
        <w:autoSpaceDN/>
        <w:spacing w:line="590" w:lineRule="exact"/>
        <w:ind w:left="0"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（一）总体情况。</w:t>
      </w:r>
    </w:p>
    <w:p>
      <w:pPr>
        <w:keepNext w:val="0"/>
        <w:keepLines w:val="0"/>
        <w:widowControl/>
        <w:suppressLineNumbers w:val="0"/>
        <w:autoSpaceDE w:val="0"/>
        <w:autoSpaceDN/>
        <w:spacing w:line="590" w:lineRule="exact"/>
        <w:ind w:lef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2021年度一般公共预算财政拨款支出1,036.05万元，占支出合计的 100.00%。与上年度相比，一般公共预算财政拨款支出增加219.84万元，增长26.93%。主要原因是人员及专项经费变动。</w:t>
      </w:r>
    </w:p>
    <w:p>
      <w:pPr>
        <w:keepNext w:val="0"/>
        <w:keepLines w:val="0"/>
        <w:widowControl/>
        <w:numPr>
          <w:ilvl w:val="0"/>
          <w:numId w:val="2"/>
        </w:numPr>
        <w:suppressLineNumbers w:val="0"/>
        <w:autoSpaceDE w:val="0"/>
        <w:autoSpaceDN/>
        <w:spacing w:line="590" w:lineRule="exact"/>
        <w:ind w:left="0" w:firstLine="643" w:firstLineChars="200"/>
        <w:jc w:val="both"/>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结构情况。</w:t>
      </w:r>
    </w:p>
    <w:p>
      <w:pPr>
        <w:keepNext w:val="0"/>
        <w:keepLines w:val="0"/>
        <w:widowControl/>
        <w:suppressLineNumbers w:val="0"/>
        <w:autoSpaceDE w:val="0"/>
        <w:autoSpaceDN/>
        <w:spacing w:line="590" w:lineRule="exact"/>
        <w:ind w:lef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2021年度一般公共预算财政拨款支出</w:t>
      </w:r>
      <w:r>
        <w:rPr>
          <w:rFonts w:hint="eastAsia" w:ascii="仿宋_GB2312" w:hAnsi="仿宋_GB2312" w:eastAsia="仿宋_GB2312" w:cs="仿宋_GB2312"/>
          <w:kern w:val="0"/>
          <w:sz w:val="32"/>
          <w:szCs w:val="32"/>
          <w:lang w:val="en-US" w:eastAsia="zh-CN"/>
        </w:rPr>
        <w:t>1036.05</w:t>
      </w:r>
      <w:r>
        <w:rPr>
          <w:rFonts w:hint="eastAsia" w:ascii="仿宋_GB2312" w:hAnsi="仿宋_GB2312" w:eastAsia="仿宋_GB2312" w:cs="仿宋_GB2312"/>
          <w:kern w:val="0"/>
          <w:sz w:val="32"/>
          <w:szCs w:val="32"/>
        </w:rPr>
        <w:t>万元，主要用于以下方面：公共安全支出</w:t>
      </w:r>
      <w:r>
        <w:rPr>
          <w:rFonts w:hint="eastAsia" w:ascii="仿宋_GB2312" w:hAnsi="仿宋_GB2312" w:eastAsia="仿宋_GB2312" w:cs="仿宋_GB2312"/>
          <w:kern w:val="0"/>
          <w:sz w:val="32"/>
          <w:szCs w:val="32"/>
          <w:lang w:val="en-US" w:eastAsia="zh-CN"/>
        </w:rPr>
        <w:t>931.91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 xml:space="preserve"> 89.95 </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46.92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2.21</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22.89</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2.21</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34.33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3.31</w:t>
      </w:r>
      <w:r>
        <w:rPr>
          <w:rFonts w:hint="eastAsia" w:ascii="仿宋_GB2312" w:hAnsi="仿宋_GB2312" w:eastAsia="仿宋_GB2312" w:cs="仿宋_GB2312"/>
          <w:kern w:val="0"/>
          <w:sz w:val="32"/>
          <w:szCs w:val="32"/>
        </w:rPr>
        <w:t>%。</w:t>
      </w:r>
    </w:p>
    <w:p>
      <w:pPr>
        <w:keepNext w:val="0"/>
        <w:keepLines w:val="0"/>
        <w:widowControl/>
        <w:numPr>
          <w:ilvl w:val="0"/>
          <w:numId w:val="2"/>
        </w:numPr>
        <w:suppressLineNumbers w:val="0"/>
        <w:autoSpaceDE w:val="0"/>
        <w:autoSpaceDN/>
        <w:spacing w:line="590" w:lineRule="exact"/>
        <w:ind w:left="0" w:leftChars="0"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具体情况。</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2021年度一般公共预算财政拨款支出年初预算为</w:t>
      </w:r>
      <w:r>
        <w:rPr>
          <w:rFonts w:hint="eastAsia" w:ascii="仿宋_GB2312" w:eastAsia="仿宋_GB2312" w:cs="仿宋_GB2312"/>
          <w:kern w:val="0"/>
          <w:sz w:val="32"/>
          <w:szCs w:val="32"/>
          <w:lang w:val="en-US" w:eastAsia="zh-CN"/>
        </w:rPr>
        <w:t>848.72</w:t>
      </w:r>
      <w:r>
        <w:rPr>
          <w:rFonts w:hint="eastAsia" w:ascii="仿宋_GB2312" w:hAnsi="宋体" w:eastAsia="仿宋_GB2312" w:cs="仿宋_GB2312"/>
          <w:kern w:val="0"/>
          <w:sz w:val="32"/>
          <w:szCs w:val="32"/>
        </w:rPr>
        <w:t>万元，支出决算为</w:t>
      </w:r>
      <w:r>
        <w:rPr>
          <w:rFonts w:hint="eastAsia" w:ascii="仿宋_GB2312" w:eastAsia="仿宋_GB2312" w:cs="仿宋_GB2312"/>
          <w:kern w:val="0"/>
          <w:sz w:val="32"/>
          <w:szCs w:val="32"/>
          <w:lang w:val="en-US" w:eastAsia="zh-CN"/>
        </w:rPr>
        <w:t>1036.05</w:t>
      </w:r>
      <w:r>
        <w:rPr>
          <w:rFonts w:hint="eastAsia" w:ascii="仿宋_GB2312" w:hAnsi="宋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122.07</w:t>
      </w:r>
      <w:r>
        <w:rPr>
          <w:rFonts w:hint="eastAsia" w:ascii="仿宋_GB2312" w:hAnsi="宋体" w:eastAsia="仿宋_GB2312" w:cs="仿宋_GB2312"/>
          <w:kern w:val="0"/>
          <w:sz w:val="32"/>
          <w:szCs w:val="32"/>
        </w:rPr>
        <w:t>%。其中：</w:t>
      </w:r>
    </w:p>
    <w:p>
      <w:pPr>
        <w:keepNext w:val="0"/>
        <w:keepLines w:val="0"/>
        <w:widowControl/>
        <w:suppressLineNumbers w:val="0"/>
        <w:autoSpaceDE w:val="0"/>
        <w:autoSpaceDN/>
        <w:spacing w:line="590" w:lineRule="exact"/>
        <w:ind w:left="0" w:firstLine="643" w:firstLineChars="200"/>
        <w:jc w:val="both"/>
        <w:rPr>
          <w:rFonts w:hint="eastAsia" w:ascii="仿宋_GB2312" w:hAnsi="仿宋_GB2312" w:eastAsia="仿宋_GB2312" w:cs="仿宋_GB2312"/>
          <w:kern w:val="0"/>
          <w:sz w:val="32"/>
          <w:szCs w:val="32"/>
        </w:rPr>
      </w:pPr>
      <w:r>
        <w:rPr>
          <w:rFonts w:hint="eastAsia" w:ascii="仿宋_GB2312" w:hAnsi="宋体" w:eastAsia="仿宋_GB2312" w:cs="仿宋_GB2312"/>
          <w:b/>
          <w:bCs/>
          <w:kern w:val="0"/>
          <w:sz w:val="32"/>
          <w:szCs w:val="32"/>
        </w:rPr>
        <w:t>1．公共安全支出（类）公安（款）行政运行（项）。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703.02</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787.43</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120.07</w:t>
      </w:r>
      <w:r>
        <w:rPr>
          <w:rFonts w:hint="eastAsia" w:ascii="仿宋_GB2312" w:hAnsi="仿宋_GB2312" w:eastAsia="仿宋_GB2312" w:cs="仿宋_GB2312"/>
          <w:kern w:val="0"/>
          <w:sz w:val="32"/>
          <w:szCs w:val="32"/>
        </w:rPr>
        <w:t>%。决算数与年初预算数存在差异的主要原因是警务套改，人员工资及津补贴增加等。</w:t>
      </w:r>
    </w:p>
    <w:p>
      <w:pPr>
        <w:keepNext w:val="0"/>
        <w:keepLines w:val="0"/>
        <w:widowControl/>
        <w:suppressLineNumbers w:val="0"/>
        <w:autoSpaceDE w:val="0"/>
        <w:autoSpaceDN/>
        <w:spacing w:line="590" w:lineRule="exact"/>
        <w:ind w:left="0"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2．公共安全支出（类）公安（款）其他公安支出（项）。</w:t>
      </w:r>
      <w:r>
        <w:rPr>
          <w:rFonts w:hint="eastAsia" w:ascii="仿宋_GB2312" w:hAnsi="宋体" w:eastAsia="仿宋_GB2312" w:cs="仿宋_GB2312"/>
          <w:kern w:val="0"/>
          <w:sz w:val="32"/>
          <w:szCs w:val="32"/>
        </w:rPr>
        <w:t>年初预算为</w:t>
      </w:r>
      <w:r>
        <w:rPr>
          <w:rFonts w:hint="eastAsia" w:ascii="仿宋_GB2312" w:eastAsia="仿宋_GB2312" w:cs="仿宋_GB2312"/>
          <w:kern w:val="0"/>
          <w:sz w:val="32"/>
          <w:szCs w:val="32"/>
          <w:lang w:val="en-US" w:eastAsia="zh-CN"/>
        </w:rPr>
        <w:t>144.48</w:t>
      </w:r>
      <w:r>
        <w:rPr>
          <w:rFonts w:hint="eastAsia" w:ascii="仿宋_GB2312" w:hAnsi="宋体" w:eastAsia="仿宋_GB2312" w:cs="仿宋_GB2312"/>
          <w:kern w:val="0"/>
          <w:sz w:val="32"/>
          <w:szCs w:val="32"/>
        </w:rPr>
        <w:t>万元，支出决算为</w:t>
      </w:r>
      <w:r>
        <w:rPr>
          <w:rFonts w:hint="eastAsia" w:ascii="仿宋_GB2312" w:eastAsia="仿宋_GB2312" w:cs="仿宋_GB2312"/>
          <w:kern w:val="0"/>
          <w:sz w:val="32"/>
          <w:szCs w:val="32"/>
          <w:lang w:val="en-US" w:eastAsia="zh-CN"/>
        </w:rPr>
        <w:t>144.48</w:t>
      </w:r>
      <w:r>
        <w:rPr>
          <w:rFonts w:hint="eastAsia" w:ascii="仿宋_GB2312" w:hAnsi="宋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宋体" w:eastAsia="仿宋_GB2312" w:cs="仿宋_GB2312"/>
          <w:kern w:val="0"/>
          <w:sz w:val="32"/>
          <w:szCs w:val="32"/>
        </w:rPr>
        <w:t>%。决算数与年初预算数</w:t>
      </w:r>
      <w:r>
        <w:rPr>
          <w:rFonts w:hint="eastAsia" w:ascii="仿宋_GB2312" w:eastAsia="仿宋_GB2312" w:cs="仿宋_GB2312"/>
          <w:kern w:val="0"/>
          <w:sz w:val="32"/>
          <w:szCs w:val="32"/>
          <w:lang w:eastAsia="zh-CN"/>
        </w:rPr>
        <w:t>不</w:t>
      </w:r>
      <w:r>
        <w:rPr>
          <w:rFonts w:hint="eastAsia" w:ascii="仿宋_GB2312" w:hAnsi="宋体" w:eastAsia="仿宋_GB2312" w:cs="仿宋_GB2312"/>
          <w:kern w:val="0"/>
          <w:sz w:val="32"/>
          <w:szCs w:val="32"/>
        </w:rPr>
        <w:t>存在差异。</w:t>
      </w:r>
    </w:p>
    <w:p>
      <w:pPr>
        <w:keepNext w:val="0"/>
        <w:keepLines w:val="0"/>
        <w:widowControl/>
        <w:suppressLineNumbers w:val="0"/>
        <w:autoSpaceDE w:val="0"/>
        <w:autoSpaceDN/>
        <w:spacing w:line="590" w:lineRule="exact"/>
        <w:ind w:left="0" w:firstLine="643" w:firstLineChars="200"/>
        <w:jc w:val="both"/>
        <w:rPr>
          <w:rFonts w:hint="eastAsia" w:ascii="仿宋_GB2312" w:hAnsi="宋体" w:eastAsia="仿宋_GB2312" w:cs="仿宋_GB2312"/>
          <w:kern w:val="0"/>
          <w:sz w:val="32"/>
          <w:szCs w:val="32"/>
        </w:rPr>
      </w:pPr>
      <w:r>
        <w:rPr>
          <w:rFonts w:hint="eastAsia" w:ascii="仿宋_GB2312"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．社会保障和就业支出（类）行政事业单位养老支出（款）机关事业单位基本养老保险缴费支出（项）。</w:t>
      </w:r>
      <w:r>
        <w:rPr>
          <w:rFonts w:hint="eastAsia" w:ascii="仿宋_GB2312" w:hAnsi="宋体" w:eastAsia="仿宋_GB2312" w:cs="仿宋_GB2312"/>
          <w:kern w:val="0"/>
          <w:sz w:val="32"/>
          <w:szCs w:val="32"/>
        </w:rPr>
        <w:t>年初预算为</w:t>
      </w:r>
      <w:r>
        <w:rPr>
          <w:rFonts w:hint="eastAsia" w:ascii="仿宋_GB2312" w:eastAsia="仿宋_GB2312" w:cs="仿宋_GB2312"/>
          <w:kern w:val="0"/>
          <w:sz w:val="32"/>
          <w:szCs w:val="32"/>
          <w:lang w:val="en-US" w:eastAsia="zh-CN"/>
        </w:rPr>
        <w:t>46.92</w:t>
      </w:r>
      <w:r>
        <w:rPr>
          <w:rFonts w:hint="eastAsia" w:ascii="仿宋_GB2312" w:hAnsi="宋体" w:eastAsia="仿宋_GB2312" w:cs="仿宋_GB2312"/>
          <w:kern w:val="0"/>
          <w:sz w:val="32"/>
          <w:szCs w:val="32"/>
        </w:rPr>
        <w:t>万元，支出决算为</w:t>
      </w:r>
      <w:r>
        <w:rPr>
          <w:rFonts w:hint="eastAsia" w:ascii="仿宋_GB2312" w:eastAsia="仿宋_GB2312" w:cs="仿宋_GB2312"/>
          <w:kern w:val="0"/>
          <w:sz w:val="32"/>
          <w:szCs w:val="32"/>
          <w:lang w:val="en-US" w:eastAsia="zh-CN"/>
        </w:rPr>
        <w:t>46.92</w:t>
      </w:r>
      <w:r>
        <w:rPr>
          <w:rFonts w:hint="eastAsia" w:ascii="仿宋_GB2312" w:hAnsi="宋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宋体" w:eastAsia="仿宋_GB2312" w:cs="仿宋_GB2312"/>
          <w:kern w:val="0"/>
          <w:sz w:val="32"/>
          <w:szCs w:val="32"/>
        </w:rPr>
        <w:t>%。决算数与年初预算数</w:t>
      </w:r>
      <w:r>
        <w:rPr>
          <w:rFonts w:hint="eastAsia" w:ascii="仿宋_GB2312" w:eastAsia="仿宋_GB2312" w:cs="仿宋_GB2312"/>
          <w:kern w:val="0"/>
          <w:sz w:val="32"/>
          <w:szCs w:val="32"/>
          <w:lang w:eastAsia="zh-CN"/>
        </w:rPr>
        <w:t>不</w:t>
      </w:r>
      <w:r>
        <w:rPr>
          <w:rFonts w:hint="eastAsia" w:ascii="仿宋_GB2312" w:hAnsi="宋体" w:eastAsia="仿宋_GB2312" w:cs="仿宋_GB2312"/>
          <w:kern w:val="0"/>
          <w:sz w:val="32"/>
          <w:szCs w:val="32"/>
        </w:rPr>
        <w:t>存在差异。</w:t>
      </w:r>
    </w:p>
    <w:p>
      <w:pPr>
        <w:keepNext w:val="0"/>
        <w:keepLines w:val="0"/>
        <w:widowControl/>
        <w:suppressLineNumbers w:val="0"/>
        <w:autoSpaceDE w:val="0"/>
        <w:autoSpaceDN/>
        <w:spacing w:line="590" w:lineRule="exact"/>
        <w:ind w:left="0" w:firstLine="643" w:firstLineChars="200"/>
        <w:jc w:val="both"/>
        <w:rPr>
          <w:rFonts w:hint="eastAsia" w:ascii="仿宋_GB2312" w:hAnsi="宋体" w:eastAsia="仿宋_GB2312" w:cs="仿宋_GB2312"/>
          <w:kern w:val="0"/>
          <w:sz w:val="32"/>
          <w:szCs w:val="32"/>
        </w:rPr>
      </w:pPr>
      <w:r>
        <w:rPr>
          <w:rFonts w:hint="eastAsia" w:ascii="仿宋_GB2312"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．卫生健康支出（类）行政事业单位医疗（款）行政单位医疗（项）。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22.89</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22.89</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%。决算数与年初预算数</w:t>
      </w:r>
      <w:r>
        <w:rPr>
          <w:rFonts w:hint="eastAsia" w:ascii="仿宋_GB2312" w:hAnsi="仿宋_GB2312" w:eastAsia="仿宋_GB2312" w:cs="仿宋_GB2312"/>
          <w:kern w:val="0"/>
          <w:sz w:val="32"/>
          <w:szCs w:val="32"/>
          <w:lang w:eastAsia="zh-CN"/>
        </w:rPr>
        <w:t>不</w:t>
      </w:r>
      <w:r>
        <w:rPr>
          <w:rFonts w:hint="eastAsia" w:ascii="仿宋_GB2312" w:hAnsi="仿宋_GB2312" w:eastAsia="仿宋_GB2312" w:cs="仿宋_GB2312"/>
          <w:kern w:val="0"/>
          <w:sz w:val="32"/>
          <w:szCs w:val="32"/>
        </w:rPr>
        <w:t>存在差异。</w:t>
      </w:r>
    </w:p>
    <w:p>
      <w:pPr>
        <w:keepNext w:val="0"/>
        <w:keepLines w:val="0"/>
        <w:widowControl/>
        <w:suppressLineNumbers w:val="0"/>
        <w:autoSpaceDE w:val="0"/>
        <w:autoSpaceDN/>
        <w:spacing w:line="590" w:lineRule="exact"/>
        <w:ind w:left="0" w:firstLine="643" w:firstLineChars="200"/>
        <w:jc w:val="both"/>
        <w:rPr>
          <w:rFonts w:hint="eastAsia" w:ascii="仿宋_GB2312" w:hAnsi="仿宋_GB2312" w:eastAsia="仿宋_GB2312" w:cs="仿宋_GB2312"/>
          <w:kern w:val="0"/>
          <w:sz w:val="32"/>
          <w:szCs w:val="32"/>
        </w:rPr>
      </w:pPr>
      <w:r>
        <w:rPr>
          <w:rFonts w:hint="eastAsia" w:ascii="仿宋_GB2312"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．住房保障支出（类）住房改革支出（款）住房公积金（项）。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34.33</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34.33</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%。决算数与年初预算数</w:t>
      </w:r>
      <w:r>
        <w:rPr>
          <w:rFonts w:hint="eastAsia" w:ascii="仿宋_GB2312" w:hAnsi="仿宋_GB2312" w:eastAsia="仿宋_GB2312" w:cs="仿宋_GB2312"/>
          <w:kern w:val="0"/>
          <w:sz w:val="32"/>
          <w:szCs w:val="32"/>
          <w:lang w:eastAsia="zh-CN"/>
        </w:rPr>
        <w:t>不</w:t>
      </w:r>
      <w:r>
        <w:rPr>
          <w:rFonts w:hint="eastAsia" w:ascii="仿宋_GB2312" w:hAnsi="仿宋_GB2312" w:eastAsia="仿宋_GB2312" w:cs="仿宋_GB2312"/>
          <w:kern w:val="0"/>
          <w:sz w:val="32"/>
          <w:szCs w:val="32"/>
        </w:rPr>
        <w:t>存在差异。</w:t>
      </w:r>
    </w:p>
    <w:p>
      <w:pPr>
        <w:keepNext w:val="0"/>
        <w:keepLines w:val="0"/>
        <w:widowControl/>
        <w:suppressLineNumbers w:val="0"/>
        <w:autoSpaceDE w:val="0"/>
        <w:autoSpaceDN/>
        <w:spacing w:line="590" w:lineRule="exact"/>
        <w:ind w:left="0" w:firstLine="640" w:firstLineChars="200"/>
        <w:jc w:val="both"/>
        <w:outlineLvl w:val="1"/>
        <w:rPr>
          <w:rFonts w:hint="eastAsia" w:ascii="黑体" w:hAnsi="宋体" w:eastAsia="黑体" w:cs="黑体"/>
          <w:kern w:val="0"/>
          <w:sz w:val="32"/>
          <w:szCs w:val="32"/>
        </w:rPr>
      </w:pPr>
      <w:r>
        <w:rPr>
          <w:rFonts w:hint="eastAsia" w:ascii="黑体" w:hAnsi="宋体" w:eastAsia="黑体" w:cs="黑体"/>
          <w:kern w:val="0"/>
          <w:sz w:val="32"/>
          <w:szCs w:val="32"/>
        </w:rPr>
        <w:t>六、一般公共预算财政拨款基本支出决算情况说明</w:t>
      </w:r>
    </w:p>
    <w:p>
      <w:pPr>
        <w:keepNext w:val="0"/>
        <w:keepLines w:val="0"/>
        <w:widowControl/>
        <w:suppressLineNumbers w:val="0"/>
        <w:autoSpaceDE w:val="0"/>
        <w:autoSpaceDN/>
        <w:spacing w:line="590" w:lineRule="exact"/>
        <w:ind w:left="0" w:firstLine="640" w:firstLineChars="200"/>
        <w:jc w:val="left"/>
        <w:outlineLvl w:val="1"/>
        <w:rPr>
          <w:rFonts w:hint="eastAsia" w:ascii="黑体" w:hAnsi="宋体" w:eastAsia="黑体" w:cs="黑体"/>
          <w:kern w:val="2"/>
          <w:sz w:val="32"/>
          <w:szCs w:val="32"/>
        </w:rPr>
      </w:pPr>
      <w:r>
        <w:rPr>
          <w:rFonts w:hint="eastAsia" w:ascii="仿宋_GB2312" w:hAnsi="仿宋_GB2312" w:eastAsia="仿宋_GB2312" w:cs="仿宋_GB2312"/>
          <w:kern w:val="2"/>
          <w:sz w:val="32"/>
          <w:szCs w:val="32"/>
        </w:rPr>
        <w:t>2021 年度一般公共预算财政拨款基本支出1,036.05万元。其中：人员经费 793.24万元，主要包括：基本工资、津贴补贴、伙食补助费、绩效工资、机关事业单位基本养老保险缴 费、职业年金缴费、其他社会保障缴费、其他工资福利支出、离休费、退休费、抚恤金、生活补助、医疗费、奖励金、住房公积金、采暖补贴、物业服务补贴、其他 对个人和家庭的补助支出；公用经费242.82万元，主要包括：办公费、印刷费、咨询费、手续费、水 费、电费、邮电费、取暖费、物业管理费、差旅费、因公出国（境）费用、维修（护）费、租赁费、会议费、培训费、公务接待费、专用材料费、劳务费、委托业务 费、工会经费、福利费、公务用车运行维护费、其他交通费用、税金及附加费用、其他商品和服务支出、办公设备购置、专用设备购置、信息网络及软件购置更新、 其他资本性支出。</w:t>
      </w:r>
      <w:r>
        <w:rPr>
          <w:rFonts w:hint="eastAsia" w:ascii="仿宋_GB2312" w:hAnsi="仿宋_GB2312" w:eastAsia="仿宋_GB2312" w:cs="仿宋_GB2312"/>
          <w:kern w:val="2"/>
          <w:sz w:val="32"/>
          <w:szCs w:val="32"/>
        </w:rPr>
        <w:br w:type="textWrapping"/>
      </w:r>
      <w:r>
        <w:rPr>
          <w:rFonts w:hint="eastAsia" w:ascii="仿宋_GB2312" w:hAnsi="仿宋_GB2312" w:eastAsia="仿宋_GB2312" w:cs="仿宋_GB2312"/>
          <w:kern w:val="2"/>
          <w:sz w:val="32"/>
          <w:szCs w:val="32"/>
          <w:lang w:val="en-US" w:eastAsia="zh-CN"/>
        </w:rPr>
        <w:t xml:space="preserve">    </w:t>
      </w:r>
      <w:r>
        <w:rPr>
          <w:rFonts w:hint="eastAsia" w:ascii="黑体" w:hAnsi="宋体" w:eastAsia="黑体" w:cs="黑体"/>
          <w:kern w:val="2"/>
          <w:sz w:val="32"/>
          <w:szCs w:val="32"/>
        </w:rPr>
        <w:t>七、一般公共预算财政拨款“三公”经费支出决算情况说明</w:t>
      </w:r>
    </w:p>
    <w:p>
      <w:pPr>
        <w:keepNext w:val="0"/>
        <w:keepLines w:val="0"/>
        <w:widowControl/>
        <w:suppressLineNumbers w:val="0"/>
        <w:autoSpaceDE w:val="0"/>
        <w:autoSpaceDN/>
        <w:ind w:left="0" w:firstLine="643" w:firstLineChars="200"/>
        <w:jc w:val="left"/>
        <w:outlineLvl w:val="2"/>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（一）“三公”经费财政拨款支出决算总体情况说明。</w:t>
      </w:r>
    </w:p>
    <w:p>
      <w:pPr>
        <w:keepNext w:val="0"/>
        <w:keepLines w:val="0"/>
        <w:widowControl/>
        <w:suppressLineNumbers w:val="0"/>
        <w:ind w:left="0" w:right="-84" w:rightChars="-35"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2021 年度“三公”经费财政拨款支出预算为32.00万元，支出决算为 15.77万元，完成预算的49.27%。2021年度“三公”经费支出决算数与预算数存在差异的主要原因是我单位能够严格执行中央“八项规定”，控制不必要的“三公”经费支出，严格控制公务接待和车辆燃修。</w:t>
      </w:r>
    </w:p>
    <w:p>
      <w:pPr>
        <w:keepNext w:val="0"/>
        <w:keepLines w:val="0"/>
        <w:widowControl/>
        <w:suppressLineNumbers w:val="0"/>
        <w:spacing w:line="590" w:lineRule="exact"/>
        <w:ind w:left="0" w:firstLine="643" w:firstLineChars="200"/>
        <w:outlineLvl w:val="2"/>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（二）“三公”经费财政拨款支出决算具体情况说明。</w:t>
      </w:r>
    </w:p>
    <w:p>
      <w:pPr>
        <w:keepNext w:val="0"/>
        <w:keepLines w:val="0"/>
        <w:widowControl/>
        <w:suppressLineNumbers w:val="0"/>
        <w:autoSpaceDE w:val="0"/>
        <w:autoSpaceDN/>
        <w:spacing w:line="590" w:lineRule="exact"/>
        <w:ind w:left="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 年度“三公”经费财政拨款支出决算中，因公出国（境）费支出决算0.00万元，完成预算的 0.00%，占0.00%；公务用车购置及运行费支出决算15.53万元， 完成预算的55.45%，占 98.48%；公务接待费支出决算 0.24万元，完成预算的6.01%，占1.52%；具体情 况如下：</w:t>
      </w:r>
    </w:p>
    <w:p>
      <w:pPr>
        <w:keepNext w:val="0"/>
        <w:keepLines w:val="0"/>
        <w:widowControl/>
        <w:suppressLineNumbers w:val="0"/>
        <w:spacing w:line="590" w:lineRule="exact"/>
        <w:ind w:left="0" w:firstLine="643"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rPr>
        <w:t>1．因公出国（境）费</w:t>
      </w:r>
      <w:r>
        <w:rPr>
          <w:rFonts w:hint="eastAsia" w:ascii="仿宋_GB2312" w:hAnsi="宋体" w:eastAsia="仿宋_GB2312" w:cs="仿宋_GB2312"/>
          <w:kern w:val="0"/>
          <w:sz w:val="32"/>
          <w:szCs w:val="32"/>
        </w:rPr>
        <w:t>年初预算为0万元，支出决算为0万元，完成年初预算的0%。全年因公出国（境）团组</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个，累计</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人次</w:t>
      </w:r>
      <w:r>
        <w:rPr>
          <w:rFonts w:hint="eastAsia" w:ascii="仿宋_GB2312" w:eastAsia="仿宋_GB2312" w:cs="仿宋_GB2312"/>
          <w:kern w:val="0"/>
          <w:sz w:val="32"/>
          <w:szCs w:val="32"/>
          <w:lang w:eastAsia="zh-CN"/>
        </w:rPr>
        <w:t>。</w:t>
      </w:r>
    </w:p>
    <w:p>
      <w:pPr>
        <w:keepNext w:val="0"/>
        <w:keepLines w:val="0"/>
        <w:widowControl/>
        <w:suppressLineNumbers w:val="0"/>
        <w:spacing w:line="59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2．公务用车购置及运行费</w:t>
      </w:r>
      <w:r>
        <w:rPr>
          <w:rFonts w:hint="eastAsia" w:ascii="仿宋_GB2312" w:hAnsi="宋体" w:eastAsia="仿宋_GB2312" w:cs="仿宋_GB2312"/>
          <w:kern w:val="0"/>
          <w:sz w:val="32"/>
          <w:szCs w:val="32"/>
        </w:rPr>
        <w:t>年初预算为</w:t>
      </w:r>
      <w:r>
        <w:rPr>
          <w:rFonts w:hint="eastAsia" w:ascii="仿宋_GB2312" w:eastAsia="仿宋_GB2312" w:cs="仿宋_GB2312"/>
          <w:kern w:val="0"/>
          <w:sz w:val="32"/>
          <w:szCs w:val="32"/>
          <w:lang w:val="en-US" w:eastAsia="zh-CN"/>
        </w:rPr>
        <w:t>28.00</w:t>
      </w:r>
      <w:r>
        <w:rPr>
          <w:rFonts w:hint="eastAsia" w:ascii="仿宋_GB2312" w:hAnsi="宋体" w:eastAsia="仿宋_GB2312" w:cs="仿宋_GB2312"/>
          <w:kern w:val="0"/>
          <w:sz w:val="32"/>
          <w:szCs w:val="32"/>
        </w:rPr>
        <w:t>万元，支出决算为</w:t>
      </w:r>
      <w:r>
        <w:rPr>
          <w:rFonts w:hint="eastAsia" w:ascii="仿宋_GB2312" w:eastAsia="仿宋_GB2312" w:cs="仿宋_GB2312"/>
          <w:kern w:val="0"/>
          <w:sz w:val="32"/>
          <w:szCs w:val="32"/>
          <w:lang w:val="en-US" w:eastAsia="zh-CN"/>
        </w:rPr>
        <w:t>15.53</w:t>
      </w:r>
      <w:r>
        <w:rPr>
          <w:rFonts w:hint="eastAsia" w:ascii="仿宋_GB2312" w:hAnsi="宋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55.45</w:t>
      </w:r>
      <w:r>
        <w:rPr>
          <w:rFonts w:hint="eastAsia" w:ascii="仿宋_GB2312" w:hAnsi="宋体" w:eastAsia="仿宋_GB2312" w:cs="仿宋_GB2312"/>
          <w:kern w:val="0"/>
          <w:sz w:val="32"/>
          <w:szCs w:val="32"/>
        </w:rPr>
        <w:t>%。决算数与年初预算数存在差异的主要原因是加强车辆使用管理，严格控制车辆报废更新和车辆燃修等。其中：</w:t>
      </w:r>
    </w:p>
    <w:p>
      <w:pPr>
        <w:keepNext w:val="0"/>
        <w:keepLines w:val="0"/>
        <w:widowControl/>
        <w:suppressLineNumbers w:val="0"/>
        <w:autoSpaceDE w:val="0"/>
        <w:autoSpaceDN/>
        <w:spacing w:line="59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公务用车购置支出</w:t>
      </w:r>
      <w:r>
        <w:rPr>
          <w:rFonts w:hint="eastAsia" w:ascii="仿宋_GB2312" w:hAnsi="宋体" w:eastAsia="仿宋_GB2312" w:cs="仿宋_GB2312"/>
          <w:kern w:val="0"/>
          <w:sz w:val="32"/>
          <w:szCs w:val="32"/>
        </w:rPr>
        <w:t>支出</w:t>
      </w:r>
      <w:r>
        <w:rPr>
          <w:rFonts w:hint="eastAsia" w:ascii="仿宋_GB2312" w:hAnsi="宋体" w:eastAsia="仿宋_GB2312" w:cs="仿宋_GB2312"/>
          <w:kern w:val="0"/>
          <w:sz w:val="32"/>
          <w:szCs w:val="32"/>
          <w:lang w:eastAsia="zh-CN"/>
        </w:rPr>
        <w:t>为</w:t>
      </w:r>
      <w:r>
        <w:rPr>
          <w:rFonts w:hint="eastAsia" w:ascii="仿宋_GB2312" w:hAnsi="宋体" w:eastAsia="仿宋_GB2312" w:cs="仿宋_GB2312"/>
          <w:kern w:val="0"/>
          <w:sz w:val="32"/>
          <w:szCs w:val="32"/>
          <w:lang w:val="en-US" w:eastAsia="zh-CN"/>
        </w:rPr>
        <w:t>0.00</w:t>
      </w:r>
      <w:r>
        <w:rPr>
          <w:rFonts w:hint="eastAsia" w:ascii="仿宋_GB2312" w:hAnsi="宋体" w:eastAsia="仿宋_GB2312" w:cs="仿宋_GB2312"/>
          <w:kern w:val="0"/>
          <w:sz w:val="32"/>
          <w:szCs w:val="32"/>
        </w:rPr>
        <w:t>万元。</w:t>
      </w:r>
    </w:p>
    <w:p>
      <w:pPr>
        <w:keepNext w:val="0"/>
        <w:keepLines w:val="0"/>
        <w:widowControl/>
        <w:suppressLineNumbers w:val="0"/>
        <w:autoSpaceDE w:val="0"/>
        <w:autoSpaceDN/>
        <w:spacing w:line="59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公务用车运行支出</w:t>
      </w:r>
      <w:r>
        <w:rPr>
          <w:rFonts w:hint="eastAsia" w:ascii="仿宋_GB2312" w:eastAsia="仿宋_GB2312" w:cs="仿宋_GB2312"/>
          <w:kern w:val="0"/>
          <w:sz w:val="32"/>
          <w:szCs w:val="32"/>
          <w:lang w:val="en-US" w:eastAsia="zh-CN"/>
        </w:rPr>
        <w:t>15.53</w:t>
      </w:r>
      <w:r>
        <w:rPr>
          <w:rFonts w:hint="eastAsia" w:ascii="仿宋_GB2312" w:hAnsi="宋体" w:eastAsia="仿宋_GB2312" w:cs="仿宋_GB2312"/>
          <w:kern w:val="0"/>
          <w:sz w:val="32"/>
          <w:szCs w:val="32"/>
        </w:rPr>
        <w:t>万元。主要用于办公办案。2021年期末，单位开支财政拨款的公务用车保有量为</w:t>
      </w:r>
      <w:r>
        <w:rPr>
          <w:rFonts w:hint="eastAsia" w:ascii="仿宋_GB2312" w:eastAsia="仿宋_GB2312" w:cs="仿宋_GB2312"/>
          <w:kern w:val="0"/>
          <w:sz w:val="32"/>
          <w:szCs w:val="32"/>
          <w:lang w:val="en-US" w:eastAsia="zh-CN"/>
        </w:rPr>
        <w:t>7</w:t>
      </w:r>
      <w:r>
        <w:rPr>
          <w:rFonts w:hint="eastAsia" w:ascii="仿宋_GB2312" w:hAnsi="宋体" w:eastAsia="仿宋_GB2312" w:cs="仿宋_GB2312"/>
          <w:kern w:val="0"/>
          <w:sz w:val="32"/>
          <w:szCs w:val="32"/>
        </w:rPr>
        <w:t>辆。</w:t>
      </w:r>
    </w:p>
    <w:p>
      <w:pPr>
        <w:keepNext w:val="0"/>
        <w:keepLines w:val="0"/>
        <w:widowControl/>
        <w:suppressLineNumbers w:val="0"/>
        <w:autoSpaceDE w:val="0"/>
        <w:autoSpaceDN/>
        <w:spacing w:line="59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3.公务接待费</w:t>
      </w:r>
      <w:r>
        <w:rPr>
          <w:rFonts w:hint="eastAsia" w:ascii="仿宋_GB2312" w:hAnsi="宋体" w:eastAsia="仿宋_GB2312" w:cs="仿宋_GB2312"/>
          <w:kern w:val="0"/>
          <w:sz w:val="32"/>
          <w:szCs w:val="32"/>
        </w:rPr>
        <w:t>年初预算4.00万元，支出决算为0.24万元，完成年初预算的6.01%。决算数与年初预算数存在差异的主要原因是严格执行中央八项规定,规范公务接待范围和标准。其中：</w:t>
      </w:r>
    </w:p>
    <w:p>
      <w:pPr>
        <w:keepNext w:val="0"/>
        <w:keepLines w:val="0"/>
        <w:widowControl/>
        <w:suppressLineNumbers w:val="0"/>
        <w:spacing w:line="59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外宾接待支出</w:t>
      </w:r>
      <w:r>
        <w:rPr>
          <w:rFonts w:hint="eastAsia" w:ascii="仿宋_GB2312" w:hAnsi="宋体" w:eastAsia="仿宋_GB2312" w:cs="仿宋_GB2312"/>
          <w:kern w:val="0"/>
          <w:sz w:val="32"/>
          <w:szCs w:val="32"/>
        </w:rPr>
        <w:t>0万元。2021年共接待国（境）外来访团组0个、来访外宾0人次（不包括陪同人员）。</w:t>
      </w:r>
    </w:p>
    <w:p>
      <w:pPr>
        <w:keepNext w:val="0"/>
        <w:keepLines w:val="0"/>
        <w:widowControl/>
        <w:suppressLineNumbers w:val="0"/>
        <w:spacing w:line="59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其他国内公务接待支出</w:t>
      </w:r>
      <w:r>
        <w:rPr>
          <w:rFonts w:hint="eastAsia" w:ascii="仿宋_GB2312" w:eastAsia="仿宋_GB2312" w:cs="仿宋_GB2312"/>
          <w:kern w:val="0"/>
          <w:sz w:val="32"/>
          <w:szCs w:val="32"/>
          <w:lang w:val="en-US" w:eastAsia="zh-CN"/>
        </w:rPr>
        <w:t>0.24</w:t>
      </w:r>
      <w:r>
        <w:rPr>
          <w:rFonts w:hint="eastAsia" w:ascii="仿宋_GB2312" w:hAnsi="宋体" w:eastAsia="仿宋_GB2312" w:cs="仿宋_GB2312"/>
          <w:kern w:val="0"/>
          <w:sz w:val="32"/>
          <w:szCs w:val="32"/>
        </w:rPr>
        <w:t>万元。主要用于</w:t>
      </w:r>
      <w:r>
        <w:rPr>
          <w:rFonts w:hint="eastAsia" w:ascii="仿宋_GB2312" w:eastAsia="仿宋_GB2312" w:cs="仿宋_GB2312"/>
          <w:kern w:val="0"/>
          <w:sz w:val="32"/>
          <w:szCs w:val="32"/>
          <w:lang w:eastAsia="zh-CN"/>
        </w:rPr>
        <w:t>调研交流办案协助人员</w:t>
      </w:r>
      <w:r>
        <w:rPr>
          <w:rFonts w:hint="eastAsia" w:ascii="仿宋_GB2312" w:hAnsi="宋体" w:eastAsia="仿宋_GB2312" w:cs="仿宋_GB2312"/>
          <w:kern w:val="0"/>
          <w:sz w:val="32"/>
          <w:szCs w:val="32"/>
        </w:rPr>
        <w:t>公务招待。2021年共接待国内来访团组</w:t>
      </w:r>
      <w:r>
        <w:rPr>
          <w:rFonts w:hint="eastAsia" w:ascii="仿宋_GB2312" w:hAnsi="宋体" w:eastAsia="仿宋_GB2312" w:cs="仿宋_GB2312"/>
          <w:kern w:val="0"/>
          <w:sz w:val="32"/>
          <w:szCs w:val="32"/>
          <w:lang w:val="en-US" w:eastAsia="zh-CN"/>
        </w:rPr>
        <w:t>5</w:t>
      </w:r>
      <w:r>
        <w:rPr>
          <w:rFonts w:hint="eastAsia" w:ascii="仿宋_GB2312" w:hAnsi="宋体" w:eastAsia="仿宋_GB2312" w:cs="仿宋_GB2312"/>
          <w:kern w:val="0"/>
          <w:sz w:val="32"/>
          <w:szCs w:val="32"/>
        </w:rPr>
        <w:t>个、来宾</w:t>
      </w:r>
      <w:r>
        <w:rPr>
          <w:rFonts w:hint="eastAsia" w:ascii="仿宋_GB2312" w:hAnsi="宋体" w:eastAsia="仿宋_GB2312" w:cs="仿宋_GB2312"/>
          <w:kern w:val="0"/>
          <w:sz w:val="32"/>
          <w:szCs w:val="32"/>
          <w:lang w:val="en-US" w:eastAsia="zh-CN"/>
        </w:rPr>
        <w:t>15</w:t>
      </w:r>
      <w:r>
        <w:rPr>
          <w:rFonts w:hint="eastAsia" w:ascii="仿宋_GB2312" w:hAnsi="宋体" w:eastAsia="仿宋_GB2312" w:cs="仿宋_GB2312"/>
          <w:kern w:val="0"/>
          <w:sz w:val="32"/>
          <w:szCs w:val="32"/>
        </w:rPr>
        <w:t>人次（不包括陪同人员）。</w:t>
      </w:r>
    </w:p>
    <w:p>
      <w:pPr>
        <w:keepNext w:val="0"/>
        <w:keepLines w:val="0"/>
        <w:widowControl/>
        <w:suppressLineNumbers w:val="0"/>
        <w:spacing w:line="590" w:lineRule="exact"/>
        <w:ind w:left="0" w:firstLine="640" w:firstLineChars="200"/>
        <w:outlineLvl w:val="1"/>
        <w:rPr>
          <w:rFonts w:hint="eastAsia" w:ascii="黑体" w:hAnsi="宋体" w:eastAsia="黑体" w:cs="黑体"/>
          <w:kern w:val="0"/>
          <w:sz w:val="32"/>
          <w:szCs w:val="32"/>
        </w:rPr>
      </w:pPr>
      <w:r>
        <w:rPr>
          <w:rFonts w:hint="eastAsia" w:ascii="黑体" w:hAnsi="宋体" w:eastAsia="黑体" w:cs="黑体"/>
          <w:kern w:val="0"/>
          <w:sz w:val="32"/>
          <w:szCs w:val="32"/>
        </w:rPr>
        <w:t>八、政府性基金预算财政拨款支出决算情况说明</w:t>
      </w:r>
    </w:p>
    <w:p>
      <w:pPr>
        <w:keepNext w:val="0"/>
        <w:keepLines w:val="0"/>
        <w:widowControl/>
        <w:suppressLineNumbers w:val="0"/>
        <w:spacing w:line="59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2021年度政府性基金预算财政拨款支出年初预算为0万元，支出决算为0万元。</w:t>
      </w:r>
    </w:p>
    <w:p>
      <w:pPr>
        <w:keepNext w:val="0"/>
        <w:keepLines w:val="0"/>
        <w:widowControl/>
        <w:suppressLineNumbers w:val="0"/>
        <w:spacing w:line="590" w:lineRule="exact"/>
        <w:ind w:left="0" w:firstLine="640" w:firstLineChars="200"/>
        <w:outlineLvl w:val="1"/>
        <w:rPr>
          <w:rFonts w:hint="eastAsia" w:ascii="黑体" w:hAnsi="宋体" w:eastAsia="黑体" w:cs="黑体"/>
          <w:kern w:val="0"/>
          <w:sz w:val="32"/>
          <w:szCs w:val="32"/>
        </w:rPr>
      </w:pPr>
      <w:r>
        <w:rPr>
          <w:rFonts w:hint="eastAsia" w:ascii="黑体" w:hAnsi="宋体" w:eastAsia="黑体" w:cs="黑体"/>
          <w:kern w:val="0"/>
          <w:sz w:val="32"/>
          <w:szCs w:val="32"/>
        </w:rPr>
        <w:t>九、机关运行经费支出情况说明</w:t>
      </w:r>
    </w:p>
    <w:p>
      <w:pPr>
        <w:keepNext w:val="0"/>
        <w:keepLines w:val="0"/>
        <w:widowControl/>
        <w:suppressLineNumbers w:val="0"/>
        <w:spacing w:line="590" w:lineRule="exact"/>
        <w:ind w:left="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242.82</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242.82</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%。决算数与年初预算数</w:t>
      </w:r>
      <w:r>
        <w:rPr>
          <w:rFonts w:hint="eastAsia" w:ascii="仿宋_GB2312" w:hAnsi="仿宋_GB2312" w:eastAsia="仿宋_GB2312" w:cs="仿宋_GB2312"/>
          <w:kern w:val="0"/>
          <w:sz w:val="32"/>
          <w:szCs w:val="32"/>
          <w:lang w:eastAsia="zh-CN"/>
        </w:rPr>
        <w:t>不</w:t>
      </w:r>
      <w:r>
        <w:rPr>
          <w:rFonts w:hint="eastAsia" w:ascii="仿宋_GB2312" w:hAnsi="仿宋_GB2312" w:eastAsia="仿宋_GB2312" w:cs="仿宋_GB2312"/>
          <w:kern w:val="0"/>
          <w:sz w:val="32"/>
          <w:szCs w:val="32"/>
        </w:rPr>
        <w:t>存在差异。</w:t>
      </w:r>
    </w:p>
    <w:p>
      <w:pPr>
        <w:keepNext w:val="0"/>
        <w:keepLines w:val="0"/>
        <w:widowControl/>
        <w:suppressLineNumbers w:val="0"/>
        <w:spacing w:line="590" w:lineRule="exact"/>
        <w:ind w:left="0" w:firstLine="640" w:firstLineChars="200"/>
        <w:outlineLvl w:val="1"/>
        <w:rPr>
          <w:rFonts w:hint="eastAsia" w:ascii="黑体" w:hAnsi="宋体" w:eastAsia="黑体" w:cs="黑体"/>
          <w:kern w:val="0"/>
          <w:sz w:val="32"/>
          <w:szCs w:val="32"/>
        </w:rPr>
      </w:pPr>
      <w:r>
        <w:rPr>
          <w:rFonts w:hint="eastAsia" w:ascii="黑体" w:hAnsi="宋体" w:eastAsia="黑体" w:cs="黑体"/>
          <w:kern w:val="0"/>
          <w:sz w:val="32"/>
          <w:szCs w:val="32"/>
        </w:rPr>
        <w:t>十、政府采购支出情况说明</w:t>
      </w:r>
    </w:p>
    <w:p>
      <w:pPr>
        <w:keepNext w:val="0"/>
        <w:keepLines w:val="0"/>
        <w:widowControl/>
        <w:suppressLineNumbers w:val="0"/>
        <w:spacing w:line="59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2021年度政府采购支出总额0.00万元，其中：政府采购货物支出 0.00万元、政府采购工程支出0.00万元、政府采购服务支出0.00万元。授予中小企业合同金额 0.00万元，占政府采购支出总额的0.00%,其中：授予小微企业合同金额0.00万元，占政府 采购支出总额的0.00%。</w:t>
      </w:r>
      <w:r>
        <w:rPr>
          <w:rFonts w:hint="eastAsia" w:ascii="仿宋_GB2312" w:hAnsi="宋体" w:eastAsia="仿宋_GB2312" w:cs="仿宋_GB2312"/>
          <w:kern w:val="0"/>
          <w:sz w:val="32"/>
          <w:szCs w:val="32"/>
        </w:rPr>
        <w:br w:type="textWrapping"/>
      </w:r>
    </w:p>
    <w:p>
      <w:pPr>
        <w:keepNext w:val="0"/>
        <w:keepLines w:val="0"/>
        <w:widowControl/>
        <w:suppressLineNumbers w:val="0"/>
        <w:spacing w:line="590" w:lineRule="exact"/>
        <w:ind w:left="0" w:firstLine="640" w:firstLineChars="200"/>
        <w:outlineLvl w:val="1"/>
        <w:rPr>
          <w:rFonts w:hint="eastAsia" w:ascii="黑体" w:hAnsi="宋体" w:eastAsia="黑体" w:cs="黑体"/>
          <w:kern w:val="0"/>
          <w:sz w:val="32"/>
          <w:szCs w:val="32"/>
        </w:rPr>
      </w:pPr>
      <w:r>
        <w:rPr>
          <w:rFonts w:hint="eastAsia" w:ascii="黑体" w:hAnsi="宋体" w:eastAsia="黑体" w:cs="黑体"/>
          <w:kern w:val="0"/>
          <w:sz w:val="32"/>
          <w:szCs w:val="32"/>
        </w:rPr>
        <w:t>十一、国有资产占用情况说明</w:t>
      </w:r>
    </w:p>
    <w:p>
      <w:pPr>
        <w:keepNext w:val="0"/>
        <w:keepLines w:val="0"/>
        <w:widowControl/>
        <w:suppressLineNumbers w:val="0"/>
        <w:spacing w:line="59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2021年期末，我单位共有车辆7辆，其中：省级领导干部用车0辆、主要领导干部用车 0辆、机要通信用车0辆、应急保障车0辆、执法执勤用车 7辆、特种专业技术用车0辆、离退休干部用车0辆、其他用 车0辆；单位价值50万元以上通用设备0台（套），单位价值100万元以上专用设备 0台（套）。</w:t>
      </w:r>
      <w:r>
        <w:rPr>
          <w:rFonts w:hint="eastAsia" w:ascii="仿宋_GB2312" w:hAnsi="宋体" w:eastAsia="仿宋_GB2312" w:cs="仿宋_GB2312"/>
          <w:kern w:val="0"/>
          <w:sz w:val="32"/>
          <w:szCs w:val="32"/>
        </w:rPr>
        <w:br w:type="textWrapping"/>
      </w:r>
    </w:p>
    <w:p>
      <w:pPr>
        <w:keepNext w:val="0"/>
        <w:keepLines w:val="0"/>
        <w:widowControl/>
        <w:suppressLineNumbers w:val="0"/>
        <w:spacing w:line="590" w:lineRule="exact"/>
        <w:ind w:left="0" w:firstLine="640" w:firstLineChars="200"/>
        <w:outlineLvl w:val="1"/>
        <w:rPr>
          <w:rFonts w:hint="eastAsia" w:ascii="黑体" w:hAnsi="宋体" w:eastAsia="黑体" w:cs="黑体"/>
          <w:kern w:val="0"/>
          <w:sz w:val="32"/>
          <w:szCs w:val="32"/>
        </w:rPr>
      </w:pPr>
      <w:r>
        <w:rPr>
          <w:rFonts w:hint="eastAsia" w:ascii="黑体" w:hAnsi="宋体" w:eastAsia="黑体" w:cs="黑体"/>
          <w:kern w:val="0"/>
          <w:sz w:val="32"/>
          <w:szCs w:val="32"/>
        </w:rPr>
        <w:t>十二、预算绩效情况说明</w:t>
      </w:r>
    </w:p>
    <w:p>
      <w:pPr>
        <w:keepNext w:val="0"/>
        <w:keepLines w:val="0"/>
        <w:widowControl/>
        <w:suppressLineNumbers w:val="0"/>
        <w:spacing w:line="590" w:lineRule="exact"/>
        <w:ind w:left="0" w:firstLine="643" w:firstLineChars="200"/>
        <w:outlineLvl w:val="2"/>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（一）绩效管理工作开展情况。</w:t>
      </w:r>
    </w:p>
    <w:p>
      <w:pPr>
        <w:keepNext w:val="0"/>
        <w:keepLines w:val="0"/>
        <w:widowControl/>
        <w:suppressLineNumbers w:val="0"/>
        <w:spacing w:line="59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w:t>
      </w:r>
      <w:r>
        <w:rPr>
          <w:rFonts w:hint="eastAsia" w:ascii="仿宋_GB2312" w:hAnsi="宋体" w:eastAsia="仿宋_GB2312" w:cs="仿宋_GB2312"/>
          <w:kern w:val="0"/>
          <w:sz w:val="32"/>
          <w:szCs w:val="32"/>
          <w:lang w:val="en-US" w:eastAsia="zh-CN"/>
        </w:rPr>
        <w:t>21</w:t>
      </w:r>
      <w:r>
        <w:rPr>
          <w:rFonts w:hint="eastAsia" w:ascii="仿宋_GB2312" w:hAnsi="宋体" w:eastAsia="仿宋_GB2312" w:cs="仿宋_GB2312"/>
          <w:kern w:val="0"/>
          <w:sz w:val="32"/>
          <w:szCs w:val="32"/>
        </w:rPr>
        <w:t>年，我单位纳入预算绩效管理的支出总额为</w:t>
      </w:r>
      <w:r>
        <w:rPr>
          <w:rFonts w:hint="eastAsia" w:ascii="仿宋_GB2312" w:hAnsi="宋体" w:eastAsia="仿宋_GB2312" w:cs="仿宋_GB2312"/>
          <w:kern w:val="0"/>
          <w:sz w:val="32"/>
          <w:szCs w:val="32"/>
          <w:lang w:val="en-US" w:eastAsia="zh-CN"/>
        </w:rPr>
        <w:t>144.48</w:t>
      </w:r>
      <w:r>
        <w:rPr>
          <w:rFonts w:hint="eastAsia" w:ascii="仿宋_GB2312" w:hAnsi="宋体" w:eastAsia="仿宋_GB2312" w:cs="仿宋_GB2312"/>
          <w:kern w:val="0"/>
          <w:sz w:val="32"/>
          <w:szCs w:val="32"/>
        </w:rPr>
        <w:t>万元，其中支出项目共</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个，支出金额</w:t>
      </w:r>
      <w:r>
        <w:rPr>
          <w:rFonts w:hint="eastAsia" w:ascii="仿宋_GB2312" w:hAnsi="宋体" w:eastAsia="仿宋_GB2312" w:cs="仿宋_GB2312"/>
          <w:kern w:val="0"/>
          <w:sz w:val="32"/>
          <w:szCs w:val="32"/>
          <w:lang w:val="en-US" w:eastAsia="zh-CN"/>
        </w:rPr>
        <w:t>144.48</w:t>
      </w:r>
      <w:r>
        <w:rPr>
          <w:rFonts w:hint="eastAsia" w:ascii="仿宋_GB2312" w:hAnsi="宋体" w:eastAsia="仿宋_GB2312" w:cs="仿宋_GB2312"/>
          <w:kern w:val="0"/>
          <w:sz w:val="32"/>
          <w:szCs w:val="32"/>
        </w:rPr>
        <w:t>万元。其中，进行项目绩效自评</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个，自评金额</w:t>
      </w:r>
      <w:r>
        <w:rPr>
          <w:rFonts w:hint="eastAsia" w:ascii="仿宋_GB2312" w:hAnsi="宋体" w:eastAsia="仿宋_GB2312" w:cs="仿宋_GB2312"/>
          <w:kern w:val="0"/>
          <w:sz w:val="32"/>
          <w:szCs w:val="32"/>
          <w:lang w:val="en-US" w:eastAsia="zh-CN"/>
        </w:rPr>
        <w:t>144.48</w:t>
      </w:r>
      <w:r>
        <w:rPr>
          <w:rFonts w:hint="eastAsia" w:ascii="仿宋_GB2312" w:hAnsi="宋体" w:eastAsia="仿宋_GB2312" w:cs="仿宋_GB2312"/>
          <w:kern w:val="0"/>
          <w:sz w:val="32"/>
          <w:szCs w:val="32"/>
        </w:rPr>
        <w:t>万元；纳入重点绩效评价</w:t>
      </w:r>
      <w:r>
        <w:rPr>
          <w:rFonts w:hint="eastAsia" w:ascii="仿宋_GB2312" w:hAnsi="宋体" w:eastAsia="仿宋_GB2312" w:cs="仿宋_GB2312"/>
          <w:kern w:val="0"/>
          <w:sz w:val="32"/>
          <w:szCs w:val="32"/>
          <w:lang w:val="en-US" w:eastAsia="zh-CN"/>
        </w:rPr>
        <w:t>0</w:t>
      </w:r>
      <w:r>
        <w:rPr>
          <w:rFonts w:hint="eastAsia" w:ascii="仿宋_GB2312" w:hAnsi="宋体" w:eastAsia="仿宋_GB2312" w:cs="仿宋_GB2312"/>
          <w:kern w:val="0"/>
          <w:sz w:val="32"/>
          <w:szCs w:val="32"/>
        </w:rPr>
        <w:t>个，评价金额</w:t>
      </w:r>
      <w:r>
        <w:rPr>
          <w:rFonts w:hint="eastAsia" w:ascii="仿宋_GB2312" w:hAnsi="宋体" w:eastAsia="仿宋_GB2312" w:cs="仿宋_GB2312"/>
          <w:kern w:val="0"/>
          <w:sz w:val="32"/>
          <w:szCs w:val="32"/>
          <w:lang w:val="en-US" w:eastAsia="zh-CN"/>
        </w:rPr>
        <w:t>0</w:t>
      </w:r>
      <w:r>
        <w:rPr>
          <w:rFonts w:hint="eastAsia" w:ascii="仿宋_GB2312" w:hAnsi="宋体" w:eastAsia="仿宋_GB2312" w:cs="仿宋_GB2312"/>
          <w:kern w:val="0"/>
          <w:sz w:val="32"/>
          <w:szCs w:val="32"/>
        </w:rPr>
        <w:t>万元。</w:t>
      </w:r>
    </w:p>
    <w:p>
      <w:pPr>
        <w:keepNext w:val="0"/>
        <w:keepLines w:val="0"/>
        <w:widowControl/>
        <w:numPr>
          <w:ilvl w:val="0"/>
          <w:numId w:val="3"/>
        </w:numPr>
        <w:suppressLineNumbers w:val="0"/>
        <w:spacing w:line="590" w:lineRule="exact"/>
        <w:ind w:left="0" w:firstLine="643" w:firstLineChars="200"/>
        <w:outlineLvl w:val="2"/>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项目绩效自评结果。</w:t>
      </w:r>
    </w:p>
    <w:p>
      <w:pPr>
        <w:keepNext w:val="0"/>
        <w:keepLines w:val="0"/>
        <w:widowControl/>
        <w:suppressLineNumbers w:val="0"/>
        <w:spacing w:line="59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从评价情况来看，信阳市</w:t>
      </w:r>
      <w:r>
        <w:rPr>
          <w:rFonts w:hint="eastAsia" w:ascii="仿宋_GB2312" w:eastAsia="仿宋_GB2312" w:cs="仿宋_GB2312"/>
          <w:kern w:val="0"/>
          <w:sz w:val="32"/>
          <w:szCs w:val="32"/>
          <w:lang w:eastAsia="zh-CN"/>
        </w:rPr>
        <w:t>森林</w:t>
      </w:r>
      <w:r>
        <w:rPr>
          <w:rFonts w:hint="eastAsia" w:ascii="仿宋_GB2312" w:hAnsi="宋体" w:eastAsia="仿宋_GB2312" w:cs="仿宋_GB2312"/>
          <w:kern w:val="0"/>
          <w:sz w:val="32"/>
          <w:szCs w:val="32"/>
        </w:rPr>
        <w:t>公安局项目立项符合相关规定，绩效目标合理，绩效指标体系比较清晰，评价标准较为科学，项目绩效运行跟踪监控机制初步建立，项目管理、财务管理制度较为健全，任务质量完成较高，经济社会效益明显，群众满意度较好。按照设定的评价指标，已实现项目绩效目标，我</w:t>
      </w:r>
      <w:r>
        <w:rPr>
          <w:rFonts w:hint="eastAsia" w:ascii="仿宋_GB2312" w:eastAsia="仿宋_GB2312" w:cs="仿宋_GB2312"/>
          <w:kern w:val="0"/>
          <w:sz w:val="32"/>
          <w:szCs w:val="32"/>
          <w:lang w:eastAsia="zh-CN"/>
        </w:rPr>
        <w:t>单位</w:t>
      </w:r>
      <w:r>
        <w:rPr>
          <w:rFonts w:hint="eastAsia" w:ascii="仿宋_GB2312" w:hAnsi="宋体" w:eastAsia="仿宋_GB2312" w:cs="仿宋_GB2312"/>
          <w:kern w:val="0"/>
          <w:sz w:val="32"/>
          <w:szCs w:val="32"/>
        </w:rPr>
        <w:t>绩效自评结果为优。</w:t>
      </w:r>
    </w:p>
    <w:p>
      <w:pPr>
        <w:keepNext w:val="0"/>
        <w:keepLines w:val="0"/>
        <w:widowControl/>
        <w:numPr>
          <w:ilvl w:val="0"/>
          <w:numId w:val="3"/>
        </w:numPr>
        <w:suppressLineNumbers w:val="0"/>
        <w:spacing w:line="590" w:lineRule="exact"/>
        <w:ind w:left="0" w:leftChars="0" w:firstLine="643" w:firstLineChars="200"/>
        <w:jc w:val="left"/>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重点绩效评价结果</w:t>
      </w:r>
      <w:r>
        <w:rPr>
          <w:rFonts w:hint="eastAsia" w:ascii="楷体_GB2312" w:hAnsi="楷体_GB2312" w:eastAsia="楷体_GB2312" w:cs="楷体_GB2312"/>
          <w:b/>
          <w:bCs/>
          <w:kern w:val="0"/>
          <w:sz w:val="32"/>
          <w:szCs w:val="32"/>
          <w:lang w:eastAsia="zh-CN"/>
        </w:rPr>
        <w:t>。</w:t>
      </w:r>
    </w:p>
    <w:p>
      <w:pPr>
        <w:keepNext w:val="0"/>
        <w:keepLines w:val="0"/>
        <w:widowControl/>
        <w:numPr>
          <w:ilvl w:val="0"/>
          <w:numId w:val="0"/>
        </w:numPr>
        <w:suppressLineNumbers w:val="0"/>
        <w:tabs>
          <w:tab w:val="left" w:pos="0"/>
        </w:tabs>
        <w:spacing w:line="590" w:lineRule="exact"/>
        <w:ind w:right="0" w:rightChars="0"/>
        <w:jc w:val="left"/>
        <w:rPr>
          <w:rFonts w:hint="default"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 xml:space="preserve">    </w:t>
      </w:r>
      <w:r>
        <w:rPr>
          <w:rFonts w:hint="eastAsia" w:ascii="仿宋_GB2312" w:hAnsi="宋体" w:eastAsia="仿宋_GB2312" w:cs="仿宋_GB2312"/>
          <w:kern w:val="0"/>
          <w:sz w:val="32"/>
          <w:szCs w:val="32"/>
          <w:lang w:val="en-US" w:eastAsia="zh-CN"/>
        </w:rPr>
        <w:t>2021年度信阳市</w:t>
      </w:r>
      <w:r>
        <w:rPr>
          <w:rFonts w:hint="eastAsia" w:ascii="仿宋_GB2312" w:eastAsia="仿宋_GB2312" w:cs="仿宋_GB2312"/>
          <w:kern w:val="0"/>
          <w:sz w:val="32"/>
          <w:szCs w:val="32"/>
          <w:lang w:val="en-US" w:eastAsia="zh-CN"/>
        </w:rPr>
        <w:t>森林</w:t>
      </w:r>
      <w:r>
        <w:rPr>
          <w:rFonts w:hint="eastAsia" w:ascii="仿宋_GB2312" w:hAnsi="宋体" w:eastAsia="仿宋_GB2312" w:cs="仿宋_GB2312"/>
          <w:kern w:val="0"/>
          <w:sz w:val="32"/>
          <w:szCs w:val="32"/>
          <w:lang w:val="en-US" w:eastAsia="zh-CN"/>
        </w:rPr>
        <w:t>公安局未</w:t>
      </w:r>
      <w:r>
        <w:rPr>
          <w:rFonts w:hint="eastAsia" w:ascii="仿宋_GB2312" w:hAnsi="宋体" w:eastAsia="仿宋_GB2312" w:cs="仿宋_GB2312"/>
          <w:kern w:val="0"/>
          <w:sz w:val="32"/>
          <w:szCs w:val="32"/>
        </w:rPr>
        <w:t>开展重点绩效评价。</w:t>
      </w:r>
    </w:p>
    <w:p>
      <w:pPr>
        <w:keepNext w:val="0"/>
        <w:keepLines w:val="0"/>
        <w:widowControl/>
        <w:suppressLineNumbers w:val="0"/>
        <w:spacing w:line="590" w:lineRule="exact"/>
        <w:jc w:val="left"/>
        <w:rPr>
          <w:rFonts w:hint="eastAsia" w:ascii="仿宋_GB2312" w:hAnsi="宋体" w:eastAsia="仿宋_GB2312" w:cs="仿宋_GB2312"/>
          <w:kern w:val="0"/>
          <w:sz w:val="32"/>
          <w:szCs w:val="32"/>
        </w:rPr>
      </w:pPr>
    </w:p>
    <w:p>
      <w:pPr>
        <w:rPr>
          <w:rFonts w:hint="eastAsia" w:ascii="楷体_GB2312" w:hAnsi="宋体" w:eastAsia="楷体_GB2312" w:cs="楷体_GB2312"/>
          <w:b/>
          <w:bCs/>
          <w:kern w:val="0"/>
          <w:sz w:val="32"/>
          <w:szCs w:val="32"/>
        </w:rPr>
        <w:sectPr>
          <w:footerReference r:id="rId13" w:type="default"/>
          <w:pgSz w:w="11906" w:h="16838"/>
          <w:pgMar w:top="1440" w:right="1803" w:bottom="1440" w:left="1803" w:header="720" w:footer="720" w:gutter="0"/>
          <w:cols w:space="0" w:num="1"/>
          <w:docGrid w:type="lines" w:linePitch="332" w:charSpace="0"/>
        </w:sectPr>
      </w:pPr>
    </w:p>
    <w:p>
      <w:pPr>
        <w:keepNext w:val="0"/>
        <w:keepLines w:val="0"/>
        <w:widowControl/>
        <w:suppressLineNumbers w:val="0"/>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jc w:val="center"/>
        <w:outlineLvl w:val="0"/>
        <w:rPr>
          <w:rFonts w:hint="eastAsia" w:ascii="黑体" w:hAnsi="宋体" w:eastAsia="黑体" w:cs="黑体"/>
          <w:kern w:val="0"/>
          <w:sz w:val="48"/>
          <w:szCs w:val="48"/>
        </w:rPr>
      </w:pPr>
      <w:r>
        <w:rPr>
          <w:rFonts w:hint="eastAsia" w:ascii="黑体" w:hAnsi="宋体" w:eastAsia="黑体" w:cs="黑体"/>
          <w:kern w:val="0"/>
          <w:sz w:val="48"/>
          <w:szCs w:val="48"/>
        </w:rPr>
        <w:t>第四部分  名词解释</w:t>
      </w:r>
    </w:p>
    <w:p>
      <w:pPr>
        <w:keepNext w:val="0"/>
        <w:keepLines w:val="0"/>
        <w:widowControl/>
        <w:suppressLineNumbers w:val="0"/>
        <w:jc w:val="center"/>
        <w:rPr>
          <w:rFonts w:hint="eastAsia" w:ascii="黑体" w:hAnsi="宋体" w:eastAsia="黑体" w:cs="黑体"/>
          <w:kern w:val="0"/>
          <w:sz w:val="48"/>
          <w:szCs w:val="48"/>
        </w:rPr>
      </w:pPr>
      <w:r>
        <w:rPr>
          <w:rFonts w:hint="eastAsia" w:ascii="黑体" w:hAnsi="宋体" w:eastAsia="黑体" w:cs="黑体"/>
          <w:kern w:val="0"/>
          <w:sz w:val="48"/>
          <w:szCs w:val="48"/>
        </w:rPr>
        <w:t xml:space="preserve"> </w:t>
      </w:r>
    </w:p>
    <w:p>
      <w:pPr>
        <w:rPr>
          <w:rFonts w:hint="eastAsia" w:ascii="黑体" w:hAnsi="宋体" w:eastAsia="黑体" w:cs="黑体"/>
          <w:kern w:val="0"/>
          <w:sz w:val="48"/>
          <w:szCs w:val="48"/>
        </w:rPr>
        <w:sectPr>
          <w:footerReference r:id="rId14" w:type="default"/>
          <w:pgSz w:w="11906" w:h="16838"/>
          <w:pgMar w:top="1440" w:right="1803" w:bottom="1440" w:left="1803" w:header="720" w:footer="720" w:gutter="0"/>
          <w:cols w:space="0" w:num="1"/>
          <w:docGrid w:type="lines" w:linePitch="332" w:charSpace="0"/>
        </w:sectPr>
      </w:pP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一、财政拨款收入：单位从同级政府财政部门取得的财政预算资金。</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二、事业收入：事业单位开展专业业务活动及其辅助活动取得的收入。</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三、上级补助收入：事业单位从主管部门和上级单位取得的非财政补助收入。</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四、附属单位上缴收入：事业单位取得附属独立核算单位根据有关规定上缴的收入。</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五、经营收入：事业单位在专业业务活动及其辅助活动之外开展非独立核算经营活动取得的收入。</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六、其他收入：单位取得的除</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财政拨款收入</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事业收入</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上级补助收入</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附属单位上缴收入</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经营收入</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以外的各项收入。</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七、使用非财政拨款结余：指事业单位使用以前年度积累的非财政拨款结余弥补当年收支差额的金额。</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八、基本支出：为保障机构正常运转、完成日常工作任务而发生的人员支出和公用支出。</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九、项目支出：基本支出之外为完成特定行政任务和事业发展目标所发生的支出。</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三公</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经费：纳入同级财政预决算管理</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三公</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十二、工资福利支出：单位支付给在职职工和编制外长期聘用人员的各类劳动报酬，以及为上述人员缴纳的各项社会保险费等。</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十三、商品和服务支出：单位购买商品和服务的支出。</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十四、对个人和家庭的补助支出：单位用于对个人和家庭的补助支出。</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十五、年末结转：本年度或以前年度预算安排，已执行但尚未完成或因客观条件发生变化无法按原计划实施，需延迟到以后年度按有关规定继续使用的资金。</w:t>
      </w:r>
    </w:p>
    <w:p>
      <w:pPr>
        <w:keepNext w:val="0"/>
        <w:keepLines w:val="0"/>
        <w:widowControl/>
        <w:suppressLineNumbers w:val="0"/>
        <w:autoSpaceDE w:val="0"/>
        <w:autoSpaceDN/>
        <w:spacing w:line="590" w:lineRule="exact"/>
        <w:ind w:left="0" w:firstLine="640" w:firstLineChars="200"/>
        <w:jc w:val="both"/>
        <w:rPr>
          <w:rFonts w:hint="eastAsia" w:ascii="宋体" w:hAnsi="宋体" w:eastAsia="宋体" w:cs="宋体"/>
          <w:kern w:val="2"/>
          <w:sz w:val="32"/>
          <w:szCs w:val="32"/>
        </w:rPr>
      </w:pPr>
      <w:r>
        <w:rPr>
          <w:rFonts w:hint="eastAsia" w:ascii="仿宋_GB2312" w:hAnsi="宋体" w:eastAsia="仿宋_GB2312" w:cs="仿宋_GB2312"/>
          <w:kern w:val="2"/>
          <w:sz w:val="32"/>
          <w:szCs w:val="32"/>
        </w:rPr>
        <w:t>十六、年末结余：本年度或以前年度预算安排，已执行完毕或因客观条件发生变化无法按原预算安排实施，不需要再使用或无法按原预算安排继续使用的资金。</w:t>
      </w:r>
    </w:p>
    <w:sectPr>
      <w:footerReference r:id="rId15" w:type="default"/>
      <w:pgSz w:w="11906" w:h="16838"/>
      <w:pgMar w:top="1440" w:right="1803" w:bottom="1440" w:left="1803" w:header="720" w:footer="720"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126C8"/>
    <w:multiLevelType w:val="multilevel"/>
    <w:tmpl w:val="80A126C8"/>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D64F54BB"/>
    <w:multiLevelType w:val="multilevel"/>
    <w:tmpl w:val="D64F54BB"/>
    <w:lvl w:ilvl="0" w:tentative="0">
      <w:start w:val="2"/>
      <w:numFmt w:val="chineseCounting"/>
      <w:suff w:val="nothing"/>
      <w:lvlText w:val="（%1）"/>
      <w:lvlJc w:val="left"/>
      <w:pPr>
        <w:tabs>
          <w:tab w:val="left" w:pos="0"/>
        </w:tabs>
        <w:ind w:left="0" w:firstLine="0"/>
      </w:pPr>
      <w:rPr>
        <w:rFonts w:hint="eastAsia" w:ascii="楷体_GB2312" w:hAnsi="楷体_GB2312" w:eastAsia="楷体_GB2312" w:cs="楷体_GB2312"/>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2F7545C0"/>
    <w:multiLevelType w:val="singleLevel"/>
    <w:tmpl w:val="2F7545C0"/>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00"/>
  <w:drawingGridVerticalSpacing w:val="157"/>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ZWU1ZDdiMTZmZjQwZjVlZTIzODg5MDRkZmJhNGIifQ=="/>
  </w:docVars>
  <w:rsids>
    <w:rsidRoot w:val="00000000"/>
    <w:rsid w:val="01E9733B"/>
    <w:rsid w:val="05D917A0"/>
    <w:rsid w:val="096F639D"/>
    <w:rsid w:val="10063631"/>
    <w:rsid w:val="1DEE4676"/>
    <w:rsid w:val="201A79C2"/>
    <w:rsid w:val="20F35DF5"/>
    <w:rsid w:val="22C74733"/>
    <w:rsid w:val="253C19F6"/>
    <w:rsid w:val="27E37119"/>
    <w:rsid w:val="2A54259B"/>
    <w:rsid w:val="2A6F76AD"/>
    <w:rsid w:val="2A9677A7"/>
    <w:rsid w:val="2A9E191C"/>
    <w:rsid w:val="2D590C84"/>
    <w:rsid w:val="2F1F5A1F"/>
    <w:rsid w:val="2FA74558"/>
    <w:rsid w:val="30BD04A6"/>
    <w:rsid w:val="33081D7B"/>
    <w:rsid w:val="33252348"/>
    <w:rsid w:val="37BE23CD"/>
    <w:rsid w:val="37CD2337"/>
    <w:rsid w:val="3CF24200"/>
    <w:rsid w:val="4034372C"/>
    <w:rsid w:val="45082C6A"/>
    <w:rsid w:val="49911941"/>
    <w:rsid w:val="4BED251E"/>
    <w:rsid w:val="4DBE2F19"/>
    <w:rsid w:val="583062CE"/>
    <w:rsid w:val="584D261C"/>
    <w:rsid w:val="5C0D1BAE"/>
    <w:rsid w:val="61520851"/>
    <w:rsid w:val="630C3FFA"/>
    <w:rsid w:val="63C75A48"/>
    <w:rsid w:val="6AA803E7"/>
    <w:rsid w:val="77C20933"/>
    <w:rsid w:val="78DB325B"/>
    <w:rsid w:val="7CA6109C"/>
    <w:rsid w:val="7E0724A9"/>
    <w:rsid w:val="7FA903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unhideWhenUsed/>
    <w:qFormat/>
    <w:uiPriority w:val="99"/>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qFormat/>
    <w:uiPriority w:val="99"/>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eastAsia" w:ascii="宋体" w:hAnsi="宋体" w:eastAsia="宋体" w:cs="宋体"/>
      <w:kern w:val="0"/>
      <w:sz w:val="18"/>
      <w:szCs w:val="18"/>
      <w:lang w:val="en-US" w:eastAsia="zh-CN" w:bidi="ar"/>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4">
    <w:name w:val="Hyperlink"/>
    <w:basedOn w:val="13"/>
    <w:qFormat/>
    <w:uiPriority w:val="99"/>
    <w:rPr>
      <w:color w:val="0000FF"/>
      <w:u w:val="single"/>
    </w:rPr>
  </w:style>
  <w:style w:type="paragraph" w:customStyle="1" w:styleId="15">
    <w:name w:val="普通(网站)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24"/>
    <w:basedOn w:val="13"/>
    <w:qFormat/>
    <w:uiPriority w:val="0"/>
    <w:rPr>
      <w:rFonts w:hint="default" w:ascii="Times New Roman" w:hAnsi="Times New Roman" w:cs="Times New Roman"/>
      <w:color w:val="0000FF"/>
      <w:u w:val="single"/>
    </w:rPr>
  </w:style>
  <w:style w:type="character" w:customStyle="1" w:styleId="18">
    <w:name w:val="39"/>
    <w:basedOn w:val="13"/>
    <w:qFormat/>
    <w:uiPriority w:val="0"/>
    <w:rPr>
      <w:rFonts w:hint="default" w:ascii="Times New Roman" w:hAnsi="Times New Roman" w:cs="Times New Roman"/>
    </w:rPr>
  </w:style>
  <w:style w:type="character" w:customStyle="1" w:styleId="19">
    <w:name w:val="19"/>
    <w:basedOn w:val="13"/>
    <w:qFormat/>
    <w:uiPriority w:val="0"/>
    <w:rPr>
      <w:rFonts w:hint="default" w:ascii="Times New Roman" w:hAnsi="Times New Roman" w:cs="Times New Roman"/>
      <w:color w:val="0000FF"/>
      <w:u w:val="single"/>
    </w:rPr>
  </w:style>
  <w:style w:type="paragraph" w:customStyle="1" w:styleId="20">
    <w:name w:val="HTML 预设格式 Char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1">
    <w:name w:val="38"/>
    <w:basedOn w:val="13"/>
    <w:qFormat/>
    <w:uiPriority w:val="0"/>
    <w:rPr>
      <w:rFonts w:hint="default" w:ascii="Times New Roman" w:hAnsi="Times New Roman" w:cs="Times New Roman"/>
    </w:rPr>
  </w:style>
  <w:style w:type="character" w:customStyle="1" w:styleId="22">
    <w:name w:val="43"/>
    <w:basedOn w:val="13"/>
    <w:qFormat/>
    <w:uiPriority w:val="0"/>
    <w:rPr>
      <w:rFonts w:hint="eastAsia" w:ascii="宋体" w:hAnsi="宋体" w:eastAsia="宋体" w:cs="宋体"/>
      <w:color w:val="000000"/>
      <w:sz w:val="24"/>
      <w:szCs w:val="24"/>
    </w:rPr>
  </w:style>
  <w:style w:type="character" w:customStyle="1" w:styleId="23">
    <w:name w:val="25"/>
    <w:basedOn w:val="13"/>
    <w:qFormat/>
    <w:uiPriority w:val="0"/>
    <w:rPr>
      <w:rFonts w:hint="default" w:ascii="Times New Roman" w:hAnsi="Times New Roman" w:cs="Times New Roman"/>
      <w:color w:val="0000FF"/>
      <w:u w:val="single"/>
    </w:rPr>
  </w:style>
  <w:style w:type="character" w:customStyle="1" w:styleId="24">
    <w:name w:val="22"/>
    <w:basedOn w:val="13"/>
    <w:qFormat/>
    <w:uiPriority w:val="0"/>
    <w:rPr>
      <w:rFonts w:hint="default" w:ascii="Times New Roman" w:hAnsi="Times New Roman" w:cs="Times New Roman"/>
    </w:rPr>
  </w:style>
  <w:style w:type="character" w:customStyle="1" w:styleId="25">
    <w:name w:val="36"/>
    <w:basedOn w:val="13"/>
    <w:qFormat/>
    <w:uiPriority w:val="0"/>
    <w:rPr>
      <w:rFonts w:hint="default" w:ascii="Times New Roman" w:hAnsi="Times New Roman" w:cs="Times New Roman"/>
      <w:color w:val="0000FF"/>
      <w:u w:val="single"/>
    </w:rPr>
  </w:style>
  <w:style w:type="character" w:customStyle="1" w:styleId="26">
    <w:name w:val="34"/>
    <w:basedOn w:val="13"/>
    <w:qFormat/>
    <w:uiPriority w:val="0"/>
    <w:rPr>
      <w:rFonts w:hint="default" w:ascii="Times New Roman" w:hAnsi="Times New Roman" w:cs="Times New Roman"/>
      <w:color w:val="0000FF"/>
      <w:u w:val="single"/>
    </w:rPr>
  </w:style>
  <w:style w:type="character" w:customStyle="1" w:styleId="27">
    <w:name w:val="10"/>
    <w:basedOn w:val="13"/>
    <w:qFormat/>
    <w:uiPriority w:val="0"/>
    <w:rPr>
      <w:rFonts w:hint="default" w:ascii="Times New Roman" w:hAnsi="Times New Roman" w:cs="Times New Roman"/>
    </w:rPr>
  </w:style>
  <w:style w:type="character" w:customStyle="1" w:styleId="28">
    <w:name w:val="33"/>
    <w:basedOn w:val="13"/>
    <w:qFormat/>
    <w:uiPriority w:val="0"/>
    <w:rPr>
      <w:rFonts w:hint="default" w:ascii="Times New Roman" w:hAnsi="Times New Roman" w:cs="Times New Roman"/>
    </w:rPr>
  </w:style>
  <w:style w:type="character" w:customStyle="1" w:styleId="29">
    <w:name w:val="15"/>
    <w:basedOn w:val="13"/>
    <w:qFormat/>
    <w:uiPriority w:val="0"/>
    <w:rPr>
      <w:rFonts w:hint="default" w:ascii="Times New Roman" w:hAnsi="Times New Roman" w:cs="Times New Roman"/>
    </w:rPr>
  </w:style>
  <w:style w:type="character" w:customStyle="1" w:styleId="30">
    <w:name w:val="16"/>
    <w:basedOn w:val="13"/>
    <w:qFormat/>
    <w:uiPriority w:val="0"/>
    <w:rPr>
      <w:rFonts w:hint="default" w:ascii="Times New Roman" w:hAnsi="Times New Roman" w:cs="Times New Roman"/>
    </w:rPr>
  </w:style>
  <w:style w:type="character" w:customStyle="1" w:styleId="31">
    <w:name w:val="42"/>
    <w:basedOn w:val="13"/>
    <w:qFormat/>
    <w:uiPriority w:val="0"/>
    <w:rPr>
      <w:rFonts w:hint="default" w:ascii="Times New Roman" w:hAnsi="Times New Roman" w:cs="Times New Roman"/>
      <w:color w:val="0000FF"/>
      <w:u w:val="single"/>
    </w:rPr>
  </w:style>
  <w:style w:type="character" w:customStyle="1" w:styleId="32">
    <w:name w:val="17"/>
    <w:basedOn w:val="13"/>
    <w:qFormat/>
    <w:uiPriority w:val="0"/>
    <w:rPr>
      <w:rFonts w:hint="default" w:ascii="Times New Roman" w:hAnsi="Times New Roman" w:cs="Times New Roman"/>
    </w:rPr>
  </w:style>
  <w:style w:type="paragraph" w:customStyle="1" w:styleId="33">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34">
    <w:name w:val="18"/>
    <w:basedOn w:val="13"/>
    <w:qFormat/>
    <w:uiPriority w:val="0"/>
    <w:rPr>
      <w:rFonts w:hint="default" w:ascii="Times New Roman" w:hAnsi="Times New Roman" w:cs="Times New Roman"/>
      <w:color w:val="0000FF"/>
      <w:u w:val="single"/>
    </w:rPr>
  </w:style>
  <w:style w:type="character" w:customStyle="1" w:styleId="35">
    <w:name w:val="20"/>
    <w:basedOn w:val="13"/>
    <w:qFormat/>
    <w:uiPriority w:val="0"/>
    <w:rPr>
      <w:rFonts w:hint="default" w:ascii="Times New Roman" w:hAnsi="Times New Roman" w:cs="Times New Roman"/>
    </w:rPr>
  </w:style>
  <w:style w:type="character" w:customStyle="1" w:styleId="36">
    <w:name w:val="28"/>
    <w:basedOn w:val="13"/>
    <w:qFormat/>
    <w:uiPriority w:val="0"/>
    <w:rPr>
      <w:rFonts w:hint="default" w:ascii="Times New Roman" w:hAnsi="Times New Roman" w:cs="Times New Roman"/>
    </w:rPr>
  </w:style>
  <w:style w:type="character" w:customStyle="1" w:styleId="37">
    <w:name w:val="21"/>
    <w:basedOn w:val="13"/>
    <w:qFormat/>
    <w:uiPriority w:val="0"/>
    <w:rPr>
      <w:rFonts w:hint="default" w:ascii="Times New Roman" w:hAnsi="Times New Roman" w:cs="Times New Roman"/>
      <w:color w:val="0000FF"/>
      <w:u w:val="single"/>
    </w:rPr>
  </w:style>
  <w:style w:type="paragraph" w:customStyle="1" w:styleId="38">
    <w:name w:val="pre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40">
    <w:name w:val="23"/>
    <w:basedOn w:val="13"/>
    <w:qFormat/>
    <w:uiPriority w:val="0"/>
    <w:rPr>
      <w:rFonts w:hint="default" w:ascii="Times New Roman" w:hAnsi="Times New Roman" w:cs="Times New Roman"/>
      <w:color w:val="0000FF"/>
      <w:u w:val="single"/>
    </w:rPr>
  </w:style>
  <w:style w:type="character" w:customStyle="1" w:styleId="41">
    <w:name w:val="26"/>
    <w:basedOn w:val="13"/>
    <w:qFormat/>
    <w:uiPriority w:val="0"/>
    <w:rPr>
      <w:rFonts w:hint="default" w:ascii="Times New Roman" w:hAnsi="Times New Roman" w:cs="Times New Roman"/>
      <w:color w:val="0000FF"/>
      <w:u w:val="single"/>
    </w:rPr>
  </w:style>
  <w:style w:type="paragraph" w:customStyle="1" w:styleId="42">
    <w:name w:val="p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43">
    <w:name w:val="31"/>
    <w:basedOn w:val="13"/>
    <w:qFormat/>
    <w:uiPriority w:val="0"/>
    <w:rPr>
      <w:rFonts w:hint="default" w:ascii="Times New Roman" w:hAnsi="Times New Roman" w:cs="Times New Roman"/>
    </w:rPr>
  </w:style>
  <w:style w:type="character" w:customStyle="1" w:styleId="44">
    <w:name w:val="27"/>
    <w:basedOn w:val="13"/>
    <w:qFormat/>
    <w:uiPriority w:val="0"/>
    <w:rPr>
      <w:rFonts w:hint="default" w:ascii="Times New Roman" w:hAnsi="Times New Roman" w:cs="Times New Roman"/>
      <w:color w:val="0000FF"/>
      <w:u w:val="single"/>
    </w:rPr>
  </w:style>
  <w:style w:type="character" w:customStyle="1" w:styleId="45">
    <w:name w:val="41"/>
    <w:basedOn w:val="13"/>
    <w:qFormat/>
    <w:uiPriority w:val="0"/>
    <w:rPr>
      <w:rFonts w:hint="default" w:ascii="Times New Roman" w:hAnsi="Times New Roman" w:cs="Times New Roman"/>
      <w:color w:val="0000FF"/>
      <w:u w:val="single"/>
    </w:rPr>
  </w:style>
  <w:style w:type="character" w:customStyle="1" w:styleId="46">
    <w:name w:val="29"/>
    <w:basedOn w:val="13"/>
    <w:qFormat/>
    <w:uiPriority w:val="0"/>
    <w:rPr>
      <w:rFonts w:hint="default" w:ascii="Times New Roman" w:hAnsi="Times New Roman" w:cs="Times New Roman"/>
    </w:rPr>
  </w:style>
  <w:style w:type="character" w:customStyle="1" w:styleId="47">
    <w:name w:val="37"/>
    <w:basedOn w:val="13"/>
    <w:qFormat/>
    <w:uiPriority w:val="0"/>
    <w:rPr>
      <w:rFonts w:hint="default" w:ascii="Times New Roman" w:hAnsi="Times New Roman" w:cs="Times New Roman"/>
    </w:rPr>
  </w:style>
  <w:style w:type="character" w:customStyle="1" w:styleId="48">
    <w:name w:val="30"/>
    <w:basedOn w:val="13"/>
    <w:qFormat/>
    <w:uiPriority w:val="0"/>
    <w:rPr>
      <w:rFonts w:hint="default" w:ascii="Times New Roman" w:hAnsi="Times New Roman" w:cs="Times New Roman"/>
      <w:color w:val="0000FF"/>
      <w:u w:val="single"/>
    </w:rPr>
  </w:style>
  <w:style w:type="character" w:customStyle="1" w:styleId="49">
    <w:name w:val="32"/>
    <w:basedOn w:val="13"/>
    <w:qFormat/>
    <w:uiPriority w:val="0"/>
    <w:rPr>
      <w:rFonts w:hint="default" w:ascii="Times New Roman" w:hAnsi="Times New Roman" w:cs="Times New Roman"/>
      <w:color w:val="0000FF"/>
      <w:u w:val="single"/>
    </w:rPr>
  </w:style>
  <w:style w:type="character" w:customStyle="1" w:styleId="50">
    <w:name w:val="35"/>
    <w:basedOn w:val="13"/>
    <w:qFormat/>
    <w:uiPriority w:val="0"/>
    <w:rPr>
      <w:rFonts w:hint="default" w:ascii="Times New Roman" w:hAnsi="Times New Roman" w:cs="Times New Roman"/>
    </w:rPr>
  </w:style>
  <w:style w:type="paragraph" w:customStyle="1" w:styleId="51">
    <w:name w:val="普通(网站) Char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2">
    <w:name w:val="40"/>
    <w:basedOn w:val="13"/>
    <w:qFormat/>
    <w:uiPriority w:val="0"/>
    <w:rPr>
      <w:rFonts w:hint="default" w:ascii="Times New Roman" w:hAnsi="Times New Roman" w:cs="Times New Roman"/>
      <w:color w:val="0000FF"/>
      <w:u w:val="single"/>
    </w:rPr>
  </w:style>
  <w:style w:type="character" w:customStyle="1" w:styleId="53">
    <w:name w:val="44"/>
    <w:basedOn w:val="13"/>
    <w:qFormat/>
    <w:uiPriority w:val="0"/>
    <w:rPr>
      <w:rFonts w:hint="default" w:ascii="Times New Roman" w:hAnsi="Times New Roman" w:cs="Times New Roman"/>
    </w:rPr>
  </w:style>
  <w:style w:type="paragraph" w:customStyle="1" w:styleId="54">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55">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7782</Words>
  <Characters>10761</Characters>
  <Lines>1</Lines>
  <Paragraphs>1</Paragraphs>
  <TotalTime>95</TotalTime>
  <ScaleCrop>false</ScaleCrop>
  <LinksUpToDate>false</LinksUpToDate>
  <CharactersWithSpaces>11091</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2022-10-09T06:51:00Z</dcterms:created>
  <dc:creator>Administrator</dc:creator>
  <cp:lastModifiedBy>凌羽</cp:lastModifiedBy>
  <dcterms:modified xsi:type="dcterms:W3CDTF">2023-09-19T08:28:19Z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8277BC18CB3A4AAC8E616BB305D6C788_13</vt:lpwstr>
  </property>
</Properties>
</file>